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F489"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PROFILE</w:t>
      </w:r>
    </w:p>
    <w:p w14:paraId="4251F75F" w14:textId="77777777" w:rsidR="00D80A44" w:rsidRPr="00AD08C9" w:rsidRDefault="00000000" w:rsidP="00E32789">
      <w:pPr>
        <w:spacing w:after="120"/>
        <w:jc w:val="both"/>
        <w:rPr>
          <w:sz w:val="22"/>
          <w:szCs w:val="22"/>
        </w:rPr>
      </w:pPr>
      <w:r w:rsidRPr="00AD08C9">
        <w:rPr>
          <w:rFonts w:eastAsia="Calibri"/>
          <w:color w:val="23261F"/>
          <w:sz w:val="22"/>
          <w:szCs w:val="22"/>
        </w:rPr>
        <w:t>Consultant Haematologist at Addenbrooke’s Hospital, Cambridge, specialising in thrombosis, haemostasis and non-malignant haematology. Undertakes independent medicolegal work for both claimant and defendant instructions, with an evidence-based, impartial and proportionate approach and particular interest in breach of duty, causation and the interpretation of clinical evidence.</w:t>
      </w:r>
    </w:p>
    <w:p w14:paraId="5D8BDBEA"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AREAS OF EXPERTISE</w:t>
      </w:r>
    </w:p>
    <w:p w14:paraId="59808922" w14:textId="77777777" w:rsidR="00D80A44" w:rsidRPr="00AD08C9" w:rsidRDefault="00000000" w:rsidP="00E32789">
      <w:pPr>
        <w:spacing w:after="120"/>
        <w:jc w:val="both"/>
        <w:rPr>
          <w:sz w:val="22"/>
          <w:szCs w:val="22"/>
        </w:rPr>
      </w:pPr>
      <w:r w:rsidRPr="00AD08C9">
        <w:rPr>
          <w:rFonts w:eastAsia="Calibri"/>
          <w:color w:val="23261F"/>
          <w:sz w:val="22"/>
          <w:szCs w:val="22"/>
        </w:rPr>
        <w:t>Specialist in non-malignant haematology, including:</w:t>
      </w:r>
    </w:p>
    <w:p w14:paraId="3319B11F"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Anticoagulation, including warfarin and direct oral anticoagulants</w:t>
      </w:r>
    </w:p>
    <w:p w14:paraId="7BACCEF2"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Thrombosis and blood dyscrasias after COVID-19 vaccines, including vaccine-induced thrombosis and thrombocytopenia</w:t>
      </w:r>
    </w:p>
    <w:p w14:paraId="2F8C0E34"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Thrombosis and investigation of thrombophilia</w:t>
      </w:r>
    </w:p>
    <w:p w14:paraId="2B09B722"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Venous thromboembolism prevention</w:t>
      </w:r>
    </w:p>
    <w:p w14:paraId="2EC36FD0"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Haemophilia and bleeding disorders</w:t>
      </w:r>
    </w:p>
    <w:p w14:paraId="1AA55DF3"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Obstetric haematology</w:t>
      </w:r>
    </w:p>
    <w:p w14:paraId="5511EF85"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Thrombotic thrombocytopenic purpura</w:t>
      </w:r>
    </w:p>
    <w:p w14:paraId="2C1E9CA8" w14:textId="77777777" w:rsidR="00D80A44" w:rsidRPr="00AD08C9" w:rsidRDefault="00000000" w:rsidP="00E32789">
      <w:pPr>
        <w:pStyle w:val="ListParagraph"/>
        <w:numPr>
          <w:ilvl w:val="0"/>
          <w:numId w:val="2"/>
        </w:numPr>
        <w:spacing w:after="60"/>
        <w:jc w:val="both"/>
        <w:rPr>
          <w:sz w:val="22"/>
          <w:szCs w:val="22"/>
        </w:rPr>
      </w:pPr>
      <w:r w:rsidRPr="00AD08C9">
        <w:rPr>
          <w:rFonts w:eastAsia="Calibri"/>
          <w:color w:val="23261F"/>
          <w:sz w:val="22"/>
          <w:szCs w:val="22"/>
        </w:rPr>
        <w:t>Investigation and management of anaemia and low platelet counts (thrombocytopenia)</w:t>
      </w:r>
    </w:p>
    <w:p w14:paraId="2D6C9C9E"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CURRENT POSITION</w:t>
      </w:r>
    </w:p>
    <w:p w14:paraId="3AC12D18" w14:textId="77777777" w:rsidR="00D80A44" w:rsidRPr="00AD08C9" w:rsidRDefault="00000000" w:rsidP="00E32789">
      <w:pPr>
        <w:spacing w:after="120"/>
        <w:jc w:val="both"/>
        <w:rPr>
          <w:sz w:val="22"/>
          <w:szCs w:val="22"/>
        </w:rPr>
      </w:pPr>
      <w:r w:rsidRPr="00AD08C9">
        <w:rPr>
          <w:rFonts w:eastAsia="Calibri"/>
          <w:color w:val="23261F"/>
          <w:sz w:val="22"/>
          <w:szCs w:val="22"/>
        </w:rPr>
        <w:t>Consultant Haematologist at Cambridge University Hospitals NHS Foundation Trust since 2017. Clinical lead for the anticoagulation service and thrombosis treatment team, and clinical lead for the specialist haemostasis laboratory. Chair of the Joint Drugs and Therapeutics Committee. From 2017 to 2020 chaired the Trust venous thromboembolism prevention committee, and from 2020 to 2022 was the Addenbrooke’s Haemophilia Centre Director. Service lead for the East of England highly specialised centre for thrombotic thrombocytopenic purpura (2017 to October 2024). Member of the Trust thromboprophylaxis committee.</w:t>
      </w:r>
    </w:p>
    <w:p w14:paraId="1FEBC770"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EDUCATION AND QUALIFICATIONS</w:t>
      </w:r>
    </w:p>
    <w:p w14:paraId="334EE5BC" w14:textId="77777777" w:rsidR="00D80A44" w:rsidRPr="00AD08C9" w:rsidRDefault="00000000" w:rsidP="00E32789">
      <w:pPr>
        <w:pStyle w:val="ListParagraph"/>
        <w:numPr>
          <w:ilvl w:val="0"/>
          <w:numId w:val="2"/>
        </w:numPr>
        <w:spacing w:after="60"/>
        <w:rPr>
          <w:sz w:val="22"/>
          <w:szCs w:val="22"/>
        </w:rPr>
      </w:pPr>
      <w:r w:rsidRPr="00AD08C9">
        <w:rPr>
          <w:rFonts w:eastAsia="Calibri"/>
          <w:color w:val="23261F"/>
          <w:sz w:val="22"/>
          <w:szCs w:val="22"/>
        </w:rPr>
        <w:t>BSc (Hons) First Class, Biochemistry and Immunology, 2005 (University of London)</w:t>
      </w:r>
    </w:p>
    <w:p w14:paraId="74D03329" w14:textId="77777777" w:rsidR="00D80A44" w:rsidRPr="00AD08C9" w:rsidRDefault="00000000" w:rsidP="00E32789">
      <w:pPr>
        <w:pStyle w:val="ListParagraph"/>
        <w:numPr>
          <w:ilvl w:val="0"/>
          <w:numId w:val="2"/>
        </w:numPr>
        <w:spacing w:after="60"/>
        <w:rPr>
          <w:sz w:val="22"/>
          <w:szCs w:val="22"/>
        </w:rPr>
      </w:pPr>
      <w:r w:rsidRPr="00AD08C9">
        <w:rPr>
          <w:rFonts w:eastAsia="Calibri"/>
          <w:color w:val="23261F"/>
          <w:sz w:val="22"/>
          <w:szCs w:val="22"/>
        </w:rPr>
        <w:t>MB BS, 2008 (University of London)</w:t>
      </w:r>
    </w:p>
    <w:p w14:paraId="7247B23D" w14:textId="77777777" w:rsidR="00D80A44" w:rsidRPr="00AD08C9" w:rsidRDefault="00000000" w:rsidP="00E32789">
      <w:pPr>
        <w:pStyle w:val="ListParagraph"/>
        <w:numPr>
          <w:ilvl w:val="0"/>
          <w:numId w:val="2"/>
        </w:numPr>
        <w:spacing w:after="60"/>
        <w:rPr>
          <w:sz w:val="22"/>
          <w:szCs w:val="22"/>
        </w:rPr>
      </w:pPr>
      <w:r w:rsidRPr="00AD08C9">
        <w:rPr>
          <w:rFonts w:eastAsia="Calibri"/>
          <w:color w:val="23261F"/>
          <w:sz w:val="22"/>
          <w:szCs w:val="22"/>
        </w:rPr>
        <w:t>MRCP (UK), 2011</w:t>
      </w:r>
    </w:p>
    <w:p w14:paraId="438DC239" w14:textId="77777777" w:rsidR="00D80A44" w:rsidRPr="00AD08C9" w:rsidRDefault="00000000" w:rsidP="00E32789">
      <w:pPr>
        <w:pStyle w:val="ListParagraph"/>
        <w:numPr>
          <w:ilvl w:val="0"/>
          <w:numId w:val="2"/>
        </w:numPr>
        <w:spacing w:after="60"/>
        <w:rPr>
          <w:sz w:val="22"/>
          <w:szCs w:val="22"/>
        </w:rPr>
      </w:pPr>
      <w:proofErr w:type="spellStart"/>
      <w:r w:rsidRPr="00AD08C9">
        <w:rPr>
          <w:rFonts w:eastAsia="Calibri"/>
          <w:color w:val="23261F"/>
          <w:sz w:val="22"/>
          <w:szCs w:val="22"/>
        </w:rPr>
        <w:t>FRCPath</w:t>
      </w:r>
      <w:proofErr w:type="spellEnd"/>
      <w:r w:rsidRPr="00AD08C9">
        <w:rPr>
          <w:rFonts w:eastAsia="Calibri"/>
          <w:color w:val="23261F"/>
          <w:sz w:val="22"/>
          <w:szCs w:val="22"/>
        </w:rPr>
        <w:t>, 2016</w:t>
      </w:r>
    </w:p>
    <w:p w14:paraId="3060EC7C" w14:textId="77777777" w:rsidR="00D80A44" w:rsidRPr="00AD08C9" w:rsidRDefault="00000000" w:rsidP="00E32789">
      <w:pPr>
        <w:pStyle w:val="ListParagraph"/>
        <w:numPr>
          <w:ilvl w:val="0"/>
          <w:numId w:val="2"/>
        </w:numPr>
        <w:spacing w:after="60"/>
        <w:rPr>
          <w:sz w:val="22"/>
          <w:szCs w:val="22"/>
        </w:rPr>
      </w:pPr>
      <w:r w:rsidRPr="00AD08C9">
        <w:rPr>
          <w:rFonts w:eastAsia="Calibri"/>
          <w:color w:val="23261F"/>
          <w:sz w:val="22"/>
          <w:szCs w:val="22"/>
        </w:rPr>
        <w:t>Certificate of Completion of Training in Haematology, 2017</w:t>
      </w:r>
    </w:p>
    <w:p w14:paraId="115D1A7B"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RESEARCH EXPERIENCE</w:t>
      </w:r>
    </w:p>
    <w:p w14:paraId="3BCD9476" w14:textId="77777777" w:rsidR="00D80A44" w:rsidRDefault="00000000" w:rsidP="00E32789">
      <w:pPr>
        <w:spacing w:after="120"/>
        <w:rPr>
          <w:rFonts w:eastAsia="Calibri"/>
          <w:color w:val="23261F"/>
          <w:sz w:val="22"/>
          <w:szCs w:val="22"/>
        </w:rPr>
      </w:pPr>
      <w:r w:rsidRPr="00AD08C9">
        <w:rPr>
          <w:rFonts w:eastAsia="Calibri"/>
          <w:color w:val="23261F"/>
          <w:sz w:val="22"/>
          <w:szCs w:val="22"/>
        </w:rPr>
        <w:t>Sub-Principal Investigator and Principal Investigator in several clinical trials. Chief Investigator in several non-interventional, investigator-led studies. Collaborated with numerous researchers. GCP trained.</w:t>
      </w:r>
    </w:p>
    <w:p w14:paraId="2BF4CB2D" w14:textId="77777777" w:rsidR="00AD08C9" w:rsidRDefault="00AD08C9" w:rsidP="00E32789">
      <w:pPr>
        <w:spacing w:after="120"/>
        <w:rPr>
          <w:rFonts w:eastAsia="Calibri"/>
          <w:color w:val="23261F"/>
          <w:sz w:val="22"/>
          <w:szCs w:val="22"/>
        </w:rPr>
      </w:pPr>
    </w:p>
    <w:p w14:paraId="0895E37D" w14:textId="77777777" w:rsidR="00AD08C9" w:rsidRDefault="00AD08C9" w:rsidP="00E32789">
      <w:pPr>
        <w:spacing w:after="120"/>
        <w:rPr>
          <w:rFonts w:eastAsia="Calibri"/>
          <w:color w:val="23261F"/>
          <w:sz w:val="22"/>
          <w:szCs w:val="22"/>
        </w:rPr>
      </w:pPr>
    </w:p>
    <w:p w14:paraId="6364E4F0" w14:textId="77777777" w:rsidR="00AD08C9" w:rsidRDefault="00AD08C9" w:rsidP="00E32789">
      <w:pPr>
        <w:spacing w:after="120"/>
        <w:rPr>
          <w:rFonts w:eastAsia="Calibri"/>
          <w:color w:val="23261F"/>
          <w:sz w:val="22"/>
          <w:szCs w:val="22"/>
        </w:rPr>
      </w:pPr>
    </w:p>
    <w:p w14:paraId="5E4C445A" w14:textId="77777777" w:rsidR="00AD08C9" w:rsidRDefault="00AD08C9" w:rsidP="00E32789">
      <w:pPr>
        <w:spacing w:after="120"/>
        <w:rPr>
          <w:rFonts w:eastAsia="Calibri"/>
          <w:color w:val="23261F"/>
          <w:sz w:val="22"/>
          <w:szCs w:val="22"/>
        </w:rPr>
      </w:pPr>
    </w:p>
    <w:p w14:paraId="70583DC4" w14:textId="77777777" w:rsidR="00AD08C9" w:rsidRDefault="00AD08C9" w:rsidP="00E32789">
      <w:pPr>
        <w:spacing w:after="120"/>
        <w:rPr>
          <w:rFonts w:eastAsia="Calibri"/>
          <w:color w:val="23261F"/>
          <w:sz w:val="22"/>
          <w:szCs w:val="22"/>
        </w:rPr>
      </w:pPr>
    </w:p>
    <w:p w14:paraId="2078D4B4" w14:textId="77777777" w:rsidR="00AD08C9" w:rsidRPr="00AD08C9" w:rsidRDefault="00AD08C9" w:rsidP="00E32789">
      <w:pPr>
        <w:spacing w:after="120"/>
        <w:rPr>
          <w:sz w:val="22"/>
          <w:szCs w:val="22"/>
        </w:rPr>
      </w:pPr>
    </w:p>
    <w:p w14:paraId="58C53A0C" w14:textId="77777777" w:rsidR="00D80A44" w:rsidRPr="00AD08C9" w:rsidRDefault="00000000" w:rsidP="00E32789">
      <w:pPr>
        <w:pBdr>
          <w:bottom w:val="single" w:sz="6" w:space="6" w:color="9A7B3F"/>
        </w:pBdr>
        <w:spacing w:before="260" w:after="120"/>
        <w:rPr>
          <w:sz w:val="22"/>
          <w:szCs w:val="22"/>
        </w:rPr>
      </w:pPr>
      <w:r w:rsidRPr="00AD08C9">
        <w:rPr>
          <w:rFonts w:eastAsia="Georgia"/>
          <w:b/>
          <w:bCs/>
          <w:color w:val="1F3345"/>
          <w:spacing w:val="30"/>
          <w:sz w:val="22"/>
          <w:szCs w:val="22"/>
        </w:rPr>
        <w:t>PUBLICATIONS</w:t>
      </w:r>
    </w:p>
    <w:p w14:paraId="2150CDA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Griffiths M, Nelson-Piercy C &amp; Sinnamon K (2012). A case of very early ‘pure’ pre-eclampsia at 20 weeks gestation – diagnosis, investigation and management. Clinical Kidney Journal published online first 15th October 2012.</w:t>
      </w:r>
    </w:p>
    <w:p w14:paraId="33ED6937"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Hamilton-Wood C, Taylor A &amp; Ruell J (2013). Massive lymphoma arising from the thyroid requiring emergency cardiac pacing. Br J Haematol, 160(3); 274.</w:t>
      </w:r>
    </w:p>
    <w:p w14:paraId="35EA20A6"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Davies J, Asamoah A, Scott-Molloy C, Sansom V &amp; Kerr J (2014). Two-samples for blood transfusion: single centre experience. Transfusion Medicine, 24(4); 209-212.</w:t>
      </w:r>
    </w:p>
    <w:p w14:paraId="71F34696"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w:t>
      </w:r>
      <w:proofErr w:type="spellStart"/>
      <w:r w:rsidRPr="00AD08C9">
        <w:rPr>
          <w:rFonts w:eastAsia="Calibri"/>
          <w:color w:val="23261F"/>
          <w:sz w:val="22"/>
          <w:szCs w:val="22"/>
        </w:rPr>
        <w:t>d’Orey</w:t>
      </w:r>
      <w:proofErr w:type="spellEnd"/>
      <w:r w:rsidRPr="00AD08C9">
        <w:rPr>
          <w:rFonts w:eastAsia="Calibri"/>
          <w:color w:val="23261F"/>
          <w:sz w:val="22"/>
          <w:szCs w:val="22"/>
        </w:rPr>
        <w:t xml:space="preserve"> F &amp; Turner G. (2014) A student with macrocytic anaemia. BMJ: 15; 348. Case S, Johnston TJ, O’Sullivan M, Thomas W &amp; Wiseman OJ (2015). A man with rust coloured urine and normocytic anaemia. BMJ: 350: h2113.</w:t>
      </w:r>
    </w:p>
    <w:p w14:paraId="1CE7D0DF"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Veer MV &amp; Besser M (2016) </w:t>
      </w:r>
      <w:proofErr w:type="spellStart"/>
      <w:r w:rsidRPr="00AD08C9">
        <w:rPr>
          <w:rFonts w:eastAsia="Calibri"/>
          <w:color w:val="23261F"/>
          <w:sz w:val="22"/>
          <w:szCs w:val="22"/>
        </w:rPr>
        <w:t>Haemophagocytic</w:t>
      </w:r>
      <w:proofErr w:type="spellEnd"/>
      <w:r w:rsidRPr="00AD08C9">
        <w:rPr>
          <w:rFonts w:eastAsia="Calibri"/>
          <w:color w:val="23261F"/>
          <w:sz w:val="22"/>
          <w:szCs w:val="22"/>
        </w:rPr>
        <w:t xml:space="preserve"> lymphohistiocytosis: an elusive syndrome. Clin Med (Lond): 16(5): 432-436.</w:t>
      </w:r>
    </w:p>
    <w:p w14:paraId="0444AF8A" w14:textId="77777777" w:rsidR="00D80A44" w:rsidRPr="00AD08C9" w:rsidRDefault="00000000" w:rsidP="00E32789">
      <w:pPr>
        <w:pStyle w:val="ListParagraph"/>
        <w:numPr>
          <w:ilvl w:val="0"/>
          <w:numId w:val="3"/>
        </w:numPr>
        <w:spacing w:after="80"/>
        <w:jc w:val="both"/>
        <w:rPr>
          <w:sz w:val="22"/>
          <w:szCs w:val="22"/>
        </w:rPr>
      </w:pPr>
      <w:proofErr w:type="spellStart"/>
      <w:r w:rsidRPr="00AD08C9">
        <w:rPr>
          <w:rFonts w:eastAsia="Calibri"/>
          <w:color w:val="23261F"/>
          <w:sz w:val="22"/>
          <w:szCs w:val="22"/>
        </w:rPr>
        <w:t>Kazianka</w:t>
      </w:r>
      <w:proofErr w:type="spellEnd"/>
      <w:r w:rsidRPr="00AD08C9">
        <w:rPr>
          <w:rFonts w:eastAsia="Calibri"/>
          <w:color w:val="23261F"/>
          <w:sz w:val="22"/>
          <w:szCs w:val="22"/>
        </w:rPr>
        <w:t xml:space="preserve"> L, Drucker C, </w:t>
      </w:r>
      <w:proofErr w:type="spellStart"/>
      <w:r w:rsidRPr="00AD08C9">
        <w:rPr>
          <w:rFonts w:eastAsia="Calibri"/>
          <w:color w:val="23261F"/>
          <w:sz w:val="22"/>
          <w:szCs w:val="22"/>
        </w:rPr>
        <w:t>Skrabs</w:t>
      </w:r>
      <w:proofErr w:type="spellEnd"/>
      <w:r w:rsidRPr="00AD08C9">
        <w:rPr>
          <w:rFonts w:eastAsia="Calibri"/>
          <w:color w:val="23261F"/>
          <w:sz w:val="22"/>
          <w:szCs w:val="22"/>
        </w:rPr>
        <w:t xml:space="preserve"> C, Thomas W, </w:t>
      </w:r>
      <w:proofErr w:type="spellStart"/>
      <w:r w:rsidRPr="00AD08C9">
        <w:rPr>
          <w:rFonts w:eastAsia="Calibri"/>
          <w:color w:val="23261F"/>
          <w:sz w:val="22"/>
          <w:szCs w:val="22"/>
        </w:rPr>
        <w:t>Melchardt</w:t>
      </w:r>
      <w:proofErr w:type="spellEnd"/>
      <w:r w:rsidRPr="00AD08C9">
        <w:rPr>
          <w:rFonts w:eastAsia="Calibri"/>
          <w:color w:val="23261F"/>
          <w:sz w:val="22"/>
          <w:szCs w:val="22"/>
        </w:rPr>
        <w:t xml:space="preserve"> T, Struve S, Bergmann M, Staber PB, </w:t>
      </w:r>
      <w:proofErr w:type="spellStart"/>
      <w:r w:rsidRPr="00AD08C9">
        <w:rPr>
          <w:rFonts w:eastAsia="Calibri"/>
          <w:color w:val="23261F"/>
          <w:sz w:val="22"/>
          <w:szCs w:val="22"/>
        </w:rPr>
        <w:t>Porpaczy</w:t>
      </w:r>
      <w:proofErr w:type="spellEnd"/>
      <w:r w:rsidRPr="00AD08C9">
        <w:rPr>
          <w:rFonts w:eastAsia="Calibri"/>
          <w:color w:val="23261F"/>
          <w:sz w:val="22"/>
          <w:szCs w:val="22"/>
        </w:rPr>
        <w:t xml:space="preserve"> E, Einberger C, Heinz M, Hauswirth A, </w:t>
      </w:r>
      <w:proofErr w:type="spellStart"/>
      <w:r w:rsidRPr="00AD08C9">
        <w:rPr>
          <w:rFonts w:eastAsia="Calibri"/>
          <w:color w:val="23261F"/>
          <w:sz w:val="22"/>
          <w:szCs w:val="22"/>
        </w:rPr>
        <w:t>Raderer</w:t>
      </w:r>
      <w:proofErr w:type="spellEnd"/>
      <w:r w:rsidRPr="00AD08C9">
        <w:rPr>
          <w:rFonts w:eastAsia="Calibri"/>
          <w:color w:val="23261F"/>
          <w:sz w:val="22"/>
          <w:szCs w:val="22"/>
        </w:rPr>
        <w:t xml:space="preserve"> M, </w:t>
      </w:r>
      <w:proofErr w:type="spellStart"/>
      <w:r w:rsidRPr="00AD08C9">
        <w:rPr>
          <w:rFonts w:eastAsia="Calibri"/>
          <w:color w:val="23261F"/>
          <w:sz w:val="22"/>
          <w:szCs w:val="22"/>
        </w:rPr>
        <w:t>Pabinger</w:t>
      </w:r>
      <w:proofErr w:type="spellEnd"/>
      <w:r w:rsidRPr="00AD08C9">
        <w:rPr>
          <w:rFonts w:eastAsia="Calibri"/>
          <w:color w:val="23261F"/>
          <w:sz w:val="22"/>
          <w:szCs w:val="22"/>
        </w:rPr>
        <w:t xml:space="preserve"> I, Thalhammer R, Egle A, </w:t>
      </w:r>
      <w:proofErr w:type="spellStart"/>
      <w:r w:rsidRPr="00AD08C9">
        <w:rPr>
          <w:rFonts w:eastAsia="Calibri"/>
          <w:color w:val="23261F"/>
          <w:sz w:val="22"/>
          <w:szCs w:val="22"/>
        </w:rPr>
        <w:t>Wendtner</w:t>
      </w:r>
      <w:proofErr w:type="spellEnd"/>
      <w:r w:rsidRPr="00AD08C9">
        <w:rPr>
          <w:rFonts w:eastAsia="Calibri"/>
          <w:color w:val="23261F"/>
          <w:sz w:val="22"/>
          <w:szCs w:val="22"/>
        </w:rPr>
        <w:t xml:space="preserve"> CM, Follows G, Hoermann G, </w:t>
      </w:r>
      <w:proofErr w:type="spellStart"/>
      <w:r w:rsidRPr="00AD08C9">
        <w:rPr>
          <w:rFonts w:eastAsia="Calibri"/>
          <w:color w:val="23261F"/>
          <w:sz w:val="22"/>
          <w:szCs w:val="22"/>
        </w:rPr>
        <w:t>Quehenberger</w:t>
      </w:r>
      <w:proofErr w:type="spellEnd"/>
      <w:r w:rsidRPr="00AD08C9">
        <w:rPr>
          <w:rFonts w:eastAsia="Calibri"/>
          <w:color w:val="23261F"/>
          <w:sz w:val="22"/>
          <w:szCs w:val="22"/>
        </w:rPr>
        <w:t xml:space="preserve"> P, Jilma B, Jaeger U. (2016). </w:t>
      </w:r>
      <w:proofErr w:type="spellStart"/>
      <w:r w:rsidRPr="00AD08C9">
        <w:rPr>
          <w:rFonts w:eastAsia="Calibri"/>
          <w:color w:val="23261F"/>
          <w:sz w:val="22"/>
          <w:szCs w:val="22"/>
        </w:rPr>
        <w:t>Ristocetin</w:t>
      </w:r>
      <w:proofErr w:type="spellEnd"/>
      <w:r w:rsidRPr="00AD08C9">
        <w:rPr>
          <w:rFonts w:eastAsia="Calibri"/>
          <w:color w:val="23261F"/>
          <w:sz w:val="22"/>
          <w:szCs w:val="22"/>
        </w:rPr>
        <w:t xml:space="preserve">-induced platelet aggregation for monitoring of bleeding tendency in CLL treated with ibrutinib. </w:t>
      </w:r>
      <w:proofErr w:type="spellStart"/>
      <w:r w:rsidRPr="00AD08C9">
        <w:rPr>
          <w:rFonts w:eastAsia="Calibri"/>
          <w:color w:val="23261F"/>
          <w:sz w:val="22"/>
          <w:szCs w:val="22"/>
        </w:rPr>
        <w:t>Leukemia</w:t>
      </w:r>
      <w:proofErr w:type="spellEnd"/>
      <w:r w:rsidRPr="00AD08C9">
        <w:rPr>
          <w:rFonts w:eastAsia="Calibri"/>
          <w:color w:val="23261F"/>
          <w:sz w:val="22"/>
          <w:szCs w:val="22"/>
        </w:rPr>
        <w:t xml:space="preserve">. 2016 Dec 2. </w:t>
      </w:r>
      <w:proofErr w:type="spellStart"/>
      <w:r w:rsidRPr="00AD08C9">
        <w:rPr>
          <w:rFonts w:eastAsia="Calibri"/>
          <w:color w:val="23261F"/>
          <w:sz w:val="22"/>
          <w:szCs w:val="22"/>
        </w:rPr>
        <w:t>doi</w:t>
      </w:r>
      <w:proofErr w:type="spellEnd"/>
      <w:r w:rsidRPr="00AD08C9">
        <w:rPr>
          <w:rFonts w:eastAsia="Calibri"/>
          <w:color w:val="23261F"/>
          <w:sz w:val="22"/>
          <w:szCs w:val="22"/>
        </w:rPr>
        <w:t>: 10.1038/leu.2016.316.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5A0F0145"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Alwan F, Vendramin C, </w:t>
      </w:r>
      <w:proofErr w:type="spellStart"/>
      <w:r w:rsidRPr="00AD08C9">
        <w:rPr>
          <w:rFonts w:eastAsia="Calibri"/>
          <w:color w:val="23261F"/>
          <w:sz w:val="22"/>
          <w:szCs w:val="22"/>
        </w:rPr>
        <w:t>Vanhoorelbeke</w:t>
      </w:r>
      <w:proofErr w:type="spellEnd"/>
      <w:r w:rsidRPr="00AD08C9">
        <w:rPr>
          <w:rFonts w:eastAsia="Calibri"/>
          <w:color w:val="23261F"/>
          <w:sz w:val="22"/>
          <w:szCs w:val="22"/>
        </w:rPr>
        <w:t xml:space="preserve"> K, Langley K, McDonald V, Austin S, Clark A, Lester W, Gooding R, Biss T, Dutt T, Cooper N, Chapman O, Cranfield T, Douglas K, Watson HG, van Veen JJ, Sibson K, Thomas W, Manson L, Hill QA, Benjamin S, Ellis D, Westwood JP, Thomas M, Scully M (2017). Presenting ADAMTS13 antibody and antigen levels predict prognosis in immune-mediated thrombotic thrombocytopenic purpura. Blood;130(4):466-471.</w:t>
      </w:r>
    </w:p>
    <w:p w14:paraId="0CB0A07E"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Firth O, Besser M, Beveridge M, Baglin T (2017). Analysis of pulmonary embolus size at the time of recurrence compared with presentation: a single-centre retrospective study. JTH; 15(7):1443-1447.</w:t>
      </w:r>
    </w:p>
    <w:p w14:paraId="6F09AEE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Warner E, Cameron E, Symington E (2018). Successful treatment of acquired von Willebrand disease with lenalidomide leading to dramatic resolution of intractable gastrointestinal bleeding; a case report. Haemophilia. Mar 26. </w:t>
      </w:r>
      <w:proofErr w:type="spellStart"/>
      <w:r w:rsidRPr="00AD08C9">
        <w:rPr>
          <w:rFonts w:eastAsia="Calibri"/>
          <w:color w:val="23261F"/>
          <w:sz w:val="22"/>
          <w:szCs w:val="22"/>
        </w:rPr>
        <w:t>doi</w:t>
      </w:r>
      <w:proofErr w:type="spellEnd"/>
      <w:r w:rsidRPr="00AD08C9">
        <w:rPr>
          <w:rFonts w:eastAsia="Calibri"/>
          <w:color w:val="23261F"/>
          <w:sz w:val="22"/>
          <w:szCs w:val="22"/>
        </w:rPr>
        <w:t>: 10.1111/hae.13464.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6186D4E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Jenner B, Brockelsby J, Thomas W (2018). Dehydrated </w:t>
      </w:r>
      <w:proofErr w:type="spellStart"/>
      <w:r w:rsidRPr="00AD08C9">
        <w:rPr>
          <w:rFonts w:eastAsia="Calibri"/>
          <w:color w:val="23261F"/>
          <w:sz w:val="22"/>
          <w:szCs w:val="22"/>
        </w:rPr>
        <w:t>stomatocytosis</w:t>
      </w:r>
      <w:proofErr w:type="spellEnd"/>
      <w:r w:rsidRPr="00AD08C9">
        <w:rPr>
          <w:rFonts w:eastAsia="Calibri"/>
          <w:color w:val="23261F"/>
          <w:sz w:val="22"/>
          <w:szCs w:val="22"/>
        </w:rPr>
        <w:t xml:space="preserve"> causing </w:t>
      </w:r>
      <w:proofErr w:type="spellStart"/>
      <w:r w:rsidRPr="00AD08C9">
        <w:rPr>
          <w:rFonts w:eastAsia="Calibri"/>
          <w:color w:val="23261F"/>
          <w:sz w:val="22"/>
          <w:szCs w:val="22"/>
        </w:rPr>
        <w:t>fetal</w:t>
      </w:r>
      <w:proofErr w:type="spellEnd"/>
      <w:r w:rsidRPr="00AD08C9">
        <w:rPr>
          <w:rFonts w:eastAsia="Calibri"/>
          <w:color w:val="23261F"/>
          <w:sz w:val="22"/>
          <w:szCs w:val="22"/>
        </w:rPr>
        <w:t xml:space="preserve"> hydrops and perinatal ascites. Br J Haematol. 182 (5); 620.</w:t>
      </w:r>
    </w:p>
    <w:p w14:paraId="0CA2F37F"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Cutler JA, Moore GW, McDonald V &amp; Hunt BJ (2018). The utility of a fast turnaround ADAMTS13 activity in the diagnosis and exclusion of thrombotic thrombocytopenic purpura. Br J Haematol. Apr 24. </w:t>
      </w:r>
      <w:proofErr w:type="spellStart"/>
      <w:r w:rsidRPr="00AD08C9">
        <w:rPr>
          <w:rFonts w:eastAsia="Calibri"/>
          <w:color w:val="23261F"/>
          <w:sz w:val="22"/>
          <w:szCs w:val="22"/>
        </w:rPr>
        <w:t>doi</w:t>
      </w:r>
      <w:proofErr w:type="spellEnd"/>
      <w:r w:rsidRPr="00AD08C9">
        <w:rPr>
          <w:rFonts w:eastAsia="Calibri"/>
          <w:color w:val="23261F"/>
          <w:sz w:val="22"/>
          <w:szCs w:val="22"/>
        </w:rPr>
        <w:t>: 10.1111/bjh.15219.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6264047C"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Samama CM, </w:t>
      </w:r>
      <w:proofErr w:type="spellStart"/>
      <w:r w:rsidRPr="00AD08C9">
        <w:rPr>
          <w:rFonts w:eastAsia="Calibri"/>
          <w:color w:val="23261F"/>
          <w:sz w:val="22"/>
          <w:szCs w:val="22"/>
        </w:rPr>
        <w:t>Greinacher</w:t>
      </w:r>
      <w:proofErr w:type="spellEnd"/>
      <w:r w:rsidRPr="00AD08C9">
        <w:rPr>
          <w:rFonts w:eastAsia="Calibri"/>
          <w:color w:val="23261F"/>
          <w:sz w:val="22"/>
          <w:szCs w:val="22"/>
        </w:rPr>
        <w:t xml:space="preserve"> A, Hunt BJ (2018). The utility of viscoelastic methods in the prevention and treatment of bleeding and hospital-associated venous thromboembolism in peri-operative care: guidance from the SSC of the ISTH.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Haemost, 16, 2336-2340.</w:t>
      </w:r>
    </w:p>
    <w:p w14:paraId="320CEF7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Macdonald S, Chengal R, </w:t>
      </w:r>
      <w:proofErr w:type="spellStart"/>
      <w:r w:rsidRPr="00AD08C9">
        <w:rPr>
          <w:rFonts w:eastAsia="Calibri"/>
          <w:color w:val="23261F"/>
          <w:sz w:val="22"/>
          <w:szCs w:val="22"/>
        </w:rPr>
        <w:t>Hanxhiu</w:t>
      </w:r>
      <w:proofErr w:type="spellEnd"/>
      <w:r w:rsidRPr="00AD08C9">
        <w:rPr>
          <w:rFonts w:eastAsia="Calibri"/>
          <w:color w:val="23261F"/>
          <w:sz w:val="22"/>
          <w:szCs w:val="22"/>
        </w:rPr>
        <w:t xml:space="preserve"> A, Symington E, Sheares K, Besser M, Thomas W (2019). Utility of the DASH score after unprovoked venous thromboembolism: a single centre experience. Br J Haematol, 185, 631-33.</w:t>
      </w:r>
    </w:p>
    <w:p w14:paraId="354BDA6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Symington E, Besser M, Sheares K (2019). Real world experience at a single centre using direct oral anticoagulants after unprovoked venous thromboembolism. </w:t>
      </w:r>
      <w:proofErr w:type="spellStart"/>
      <w:r w:rsidRPr="00AD08C9">
        <w:rPr>
          <w:rFonts w:eastAsia="Calibri"/>
          <w:color w:val="23261F"/>
          <w:sz w:val="22"/>
          <w:szCs w:val="22"/>
        </w:rPr>
        <w:t>doi</w:t>
      </w:r>
      <w:proofErr w:type="spellEnd"/>
      <w:r w:rsidRPr="00AD08C9">
        <w:rPr>
          <w:rFonts w:eastAsia="Calibri"/>
          <w:color w:val="23261F"/>
          <w:sz w:val="22"/>
          <w:szCs w:val="22"/>
        </w:rPr>
        <w:t>: 10.1111/bjh.15880.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3A06C5BD"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Kemp M, Thomas W. Antiphospholipid syndrome in obstetrics. Lupus. 2018;27(1_suppl):28-31.</w:t>
      </w:r>
    </w:p>
    <w:p w14:paraId="30DCA41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Downes K, </w:t>
      </w:r>
      <w:proofErr w:type="spellStart"/>
      <w:r w:rsidRPr="00AD08C9">
        <w:rPr>
          <w:rFonts w:eastAsia="Calibri"/>
          <w:color w:val="23261F"/>
          <w:sz w:val="22"/>
          <w:szCs w:val="22"/>
        </w:rPr>
        <w:t>Megy</w:t>
      </w:r>
      <w:proofErr w:type="spellEnd"/>
      <w:r w:rsidRPr="00AD08C9">
        <w:rPr>
          <w:rFonts w:eastAsia="Calibri"/>
          <w:color w:val="23261F"/>
          <w:sz w:val="22"/>
          <w:szCs w:val="22"/>
        </w:rPr>
        <w:t xml:space="preserve"> K, Duarte D, Vries M, Gebhart J, Hofer S, </w:t>
      </w:r>
      <w:proofErr w:type="spellStart"/>
      <w:r w:rsidRPr="00AD08C9">
        <w:rPr>
          <w:rFonts w:eastAsia="Calibri"/>
          <w:color w:val="23261F"/>
          <w:sz w:val="22"/>
          <w:szCs w:val="22"/>
        </w:rPr>
        <w:t>Shamardina</w:t>
      </w:r>
      <w:proofErr w:type="spellEnd"/>
      <w:r w:rsidRPr="00AD08C9">
        <w:rPr>
          <w:rFonts w:eastAsia="Calibri"/>
          <w:color w:val="23261F"/>
          <w:sz w:val="22"/>
          <w:szCs w:val="22"/>
        </w:rPr>
        <w:t xml:space="preserve"> O, </w:t>
      </w:r>
      <w:proofErr w:type="spellStart"/>
      <w:r w:rsidRPr="00AD08C9">
        <w:rPr>
          <w:rFonts w:eastAsia="Calibri"/>
          <w:color w:val="23261F"/>
          <w:sz w:val="22"/>
          <w:szCs w:val="22"/>
        </w:rPr>
        <w:t>Deevi</w:t>
      </w:r>
      <w:proofErr w:type="spellEnd"/>
      <w:r w:rsidRPr="00AD08C9">
        <w:rPr>
          <w:rFonts w:eastAsia="Calibri"/>
          <w:color w:val="23261F"/>
          <w:sz w:val="22"/>
          <w:szCs w:val="22"/>
        </w:rPr>
        <w:t xml:space="preserve"> SVV, Stephens J, Mapeta R, Tuna S, Al Hasso N, Besser MW, Cooper N, Daugherty L, </w:t>
      </w:r>
      <w:proofErr w:type="spellStart"/>
      <w:r w:rsidRPr="00AD08C9">
        <w:rPr>
          <w:rFonts w:eastAsia="Calibri"/>
          <w:color w:val="23261F"/>
          <w:sz w:val="22"/>
          <w:szCs w:val="22"/>
        </w:rPr>
        <w:t>Gleadall</w:t>
      </w:r>
      <w:proofErr w:type="spellEnd"/>
      <w:r w:rsidRPr="00AD08C9">
        <w:rPr>
          <w:rFonts w:eastAsia="Calibri"/>
          <w:color w:val="23261F"/>
          <w:sz w:val="22"/>
          <w:szCs w:val="22"/>
        </w:rPr>
        <w:t xml:space="preserve"> N, Greene D, </w:t>
      </w:r>
      <w:proofErr w:type="spellStart"/>
      <w:r w:rsidRPr="00AD08C9">
        <w:rPr>
          <w:rFonts w:eastAsia="Calibri"/>
          <w:color w:val="23261F"/>
          <w:sz w:val="22"/>
          <w:szCs w:val="22"/>
        </w:rPr>
        <w:t>Haimel</w:t>
      </w:r>
      <w:proofErr w:type="spellEnd"/>
      <w:r w:rsidRPr="00AD08C9">
        <w:rPr>
          <w:rFonts w:eastAsia="Calibri"/>
          <w:color w:val="23261F"/>
          <w:sz w:val="22"/>
          <w:szCs w:val="22"/>
        </w:rPr>
        <w:t xml:space="preserve"> </w:t>
      </w:r>
      <w:r w:rsidRPr="00AD08C9">
        <w:rPr>
          <w:rFonts w:eastAsia="Calibri"/>
          <w:color w:val="23261F"/>
          <w:sz w:val="22"/>
          <w:szCs w:val="22"/>
        </w:rPr>
        <w:lastRenderedPageBreak/>
        <w:t xml:space="preserve">M, Martin H, </w:t>
      </w:r>
      <w:proofErr w:type="spellStart"/>
      <w:r w:rsidRPr="00AD08C9">
        <w:rPr>
          <w:rFonts w:eastAsia="Calibri"/>
          <w:color w:val="23261F"/>
          <w:sz w:val="22"/>
          <w:szCs w:val="22"/>
        </w:rPr>
        <w:t>Papadia</w:t>
      </w:r>
      <w:proofErr w:type="spellEnd"/>
      <w:r w:rsidRPr="00AD08C9">
        <w:rPr>
          <w:rFonts w:eastAsia="Calibri"/>
          <w:color w:val="23261F"/>
          <w:sz w:val="22"/>
          <w:szCs w:val="22"/>
        </w:rPr>
        <w:t xml:space="preserve"> S, Revel-Vilk S, </w:t>
      </w:r>
      <w:proofErr w:type="spellStart"/>
      <w:r w:rsidRPr="00AD08C9">
        <w:rPr>
          <w:rFonts w:eastAsia="Calibri"/>
          <w:color w:val="23261F"/>
          <w:sz w:val="22"/>
          <w:szCs w:val="22"/>
        </w:rPr>
        <w:t>Sivapalaratnam</w:t>
      </w:r>
      <w:proofErr w:type="spellEnd"/>
      <w:r w:rsidRPr="00AD08C9">
        <w:rPr>
          <w:rFonts w:eastAsia="Calibri"/>
          <w:color w:val="23261F"/>
          <w:sz w:val="22"/>
          <w:szCs w:val="22"/>
        </w:rPr>
        <w:t xml:space="preserve"> S, Symington E, Thomas W, Thys C, Tolios A, Penkett CJ, Ouwehand WH, Abbs S, Laffan MA, Turro E, Simeoni I, Mumford AD, </w:t>
      </w:r>
      <w:proofErr w:type="spellStart"/>
      <w:r w:rsidRPr="00AD08C9">
        <w:rPr>
          <w:rFonts w:eastAsia="Calibri"/>
          <w:color w:val="23261F"/>
          <w:sz w:val="22"/>
          <w:szCs w:val="22"/>
        </w:rPr>
        <w:t>Henskens</w:t>
      </w:r>
      <w:proofErr w:type="spellEnd"/>
      <w:r w:rsidRPr="00AD08C9">
        <w:rPr>
          <w:rFonts w:eastAsia="Calibri"/>
          <w:color w:val="23261F"/>
          <w:sz w:val="22"/>
          <w:szCs w:val="22"/>
        </w:rPr>
        <w:t xml:space="preserve"> YMC, </w:t>
      </w:r>
      <w:proofErr w:type="spellStart"/>
      <w:r w:rsidRPr="00AD08C9">
        <w:rPr>
          <w:rFonts w:eastAsia="Calibri"/>
          <w:color w:val="23261F"/>
          <w:sz w:val="22"/>
          <w:szCs w:val="22"/>
        </w:rPr>
        <w:t>Pabinger</w:t>
      </w:r>
      <w:proofErr w:type="spellEnd"/>
      <w:r w:rsidRPr="00AD08C9">
        <w:rPr>
          <w:rFonts w:eastAsia="Calibri"/>
          <w:color w:val="23261F"/>
          <w:sz w:val="22"/>
          <w:szCs w:val="22"/>
        </w:rPr>
        <w:t xml:space="preserve"> I, Gomez K, Freson K (2019). Diagnostic high-throughput sequencing of 2,396 patients with bleeding, thrombotic and platelet disorders. Blood, </w:t>
      </w:r>
      <w:proofErr w:type="spellStart"/>
      <w:r w:rsidRPr="00AD08C9">
        <w:rPr>
          <w:rFonts w:eastAsia="Calibri"/>
          <w:color w:val="23261F"/>
          <w:sz w:val="22"/>
          <w:szCs w:val="22"/>
        </w:rPr>
        <w:t>doi</w:t>
      </w:r>
      <w:proofErr w:type="spellEnd"/>
      <w:r w:rsidRPr="00AD08C9">
        <w:rPr>
          <w:rFonts w:eastAsia="Calibri"/>
          <w:color w:val="23261F"/>
          <w:sz w:val="22"/>
          <w:szCs w:val="22"/>
        </w:rPr>
        <w:t>: 10.1182/blood.2018891192.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1B903504"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Alwan F, Vendramin C, Liesner R, Clark A, Lester W, Dutt T, Thomas W, Gooding R, Biss T, Watson G, Cooper N, Rayment R, Cranfield T, van Veen J, Hill Q, Davis S, Motwani J, Bhatnagar N, Priddee N, David M, Crowley M, Alamelu J, Lyall H, Westwood J-</w:t>
      </w:r>
      <w:proofErr w:type="spellStart"/>
      <w:proofErr w:type="gramStart"/>
      <w:r w:rsidRPr="00AD08C9">
        <w:rPr>
          <w:rFonts w:eastAsia="Calibri"/>
          <w:color w:val="23261F"/>
          <w:sz w:val="22"/>
          <w:szCs w:val="22"/>
        </w:rPr>
        <w:t>P,Thomas</w:t>
      </w:r>
      <w:proofErr w:type="spellEnd"/>
      <w:proofErr w:type="gramEnd"/>
      <w:r w:rsidRPr="00AD08C9">
        <w:rPr>
          <w:rFonts w:eastAsia="Calibri"/>
          <w:color w:val="23261F"/>
          <w:sz w:val="22"/>
          <w:szCs w:val="22"/>
        </w:rPr>
        <w:t xml:space="preserve"> M, Scully M; Characterization and treatment of congenital thrombotic thrombocytopenic purpura. Blood 2019; 133 (15): 1644–1651.</w:t>
      </w:r>
    </w:p>
    <w:p w14:paraId="064E9D7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Cox-Morton S, MacDonald S, Thomas W (2019). A diagnostic solution for haemostasis laboratories for patients taking direct oral anticoagulants using DOAC-Remove. British Journal of Haematology, published online ahead of print.</w:t>
      </w:r>
    </w:p>
    <w:p w14:paraId="10FABA5E" w14:textId="77777777" w:rsidR="00D80A44" w:rsidRPr="00AD08C9" w:rsidRDefault="00000000" w:rsidP="00E32789">
      <w:pPr>
        <w:pStyle w:val="ListParagraph"/>
        <w:numPr>
          <w:ilvl w:val="0"/>
          <w:numId w:val="3"/>
        </w:numPr>
        <w:spacing w:after="80"/>
        <w:jc w:val="both"/>
        <w:rPr>
          <w:sz w:val="22"/>
          <w:szCs w:val="22"/>
        </w:rPr>
      </w:pPr>
      <w:proofErr w:type="spellStart"/>
      <w:r w:rsidRPr="00AD08C9">
        <w:rPr>
          <w:rFonts w:eastAsia="Calibri"/>
          <w:color w:val="23261F"/>
          <w:sz w:val="22"/>
          <w:szCs w:val="22"/>
        </w:rPr>
        <w:t>Mindlina</w:t>
      </w:r>
      <w:proofErr w:type="spellEnd"/>
      <w:r w:rsidRPr="00AD08C9">
        <w:rPr>
          <w:rFonts w:eastAsia="Calibri"/>
          <w:color w:val="23261F"/>
          <w:sz w:val="22"/>
          <w:szCs w:val="22"/>
        </w:rPr>
        <w:t xml:space="preserve"> I, Nelmes E, Sharp M, Butler A, </w:t>
      </w:r>
      <w:proofErr w:type="spellStart"/>
      <w:r w:rsidRPr="00AD08C9">
        <w:rPr>
          <w:rFonts w:eastAsia="Calibri"/>
          <w:color w:val="23261F"/>
          <w:sz w:val="22"/>
          <w:szCs w:val="22"/>
        </w:rPr>
        <w:t>Gudgin</w:t>
      </w:r>
      <w:proofErr w:type="spellEnd"/>
      <w:r w:rsidRPr="00AD08C9">
        <w:rPr>
          <w:rFonts w:eastAsia="Calibri"/>
          <w:color w:val="23261F"/>
          <w:sz w:val="22"/>
          <w:szCs w:val="22"/>
        </w:rPr>
        <w:t xml:space="preserve"> E, Thomas W. </w:t>
      </w:r>
      <w:proofErr w:type="spellStart"/>
      <w:r w:rsidRPr="00AD08C9">
        <w:rPr>
          <w:rFonts w:eastAsia="Calibri"/>
          <w:color w:val="23261F"/>
          <w:sz w:val="22"/>
          <w:szCs w:val="22"/>
        </w:rPr>
        <w:t>Argatroban</w:t>
      </w:r>
      <w:proofErr w:type="spellEnd"/>
      <w:r w:rsidRPr="00AD08C9">
        <w:rPr>
          <w:rFonts w:eastAsia="Calibri"/>
          <w:color w:val="23261F"/>
          <w:sz w:val="22"/>
          <w:szCs w:val="22"/>
        </w:rPr>
        <w:t xml:space="preserve"> to achieve therapeutic anticoagulation in two patients with acute thrombosis and heparin resistance. Blood </w:t>
      </w:r>
      <w:proofErr w:type="spellStart"/>
      <w:r w:rsidRPr="00AD08C9">
        <w:rPr>
          <w:rFonts w:eastAsia="Calibri"/>
          <w:color w:val="23261F"/>
          <w:sz w:val="22"/>
          <w:szCs w:val="22"/>
        </w:rPr>
        <w:t>coagul</w:t>
      </w:r>
      <w:proofErr w:type="spellEnd"/>
      <w:r w:rsidRPr="00AD08C9">
        <w:rPr>
          <w:rFonts w:eastAsia="Calibri"/>
          <w:color w:val="23261F"/>
          <w:sz w:val="22"/>
          <w:szCs w:val="22"/>
        </w:rPr>
        <w:t xml:space="preserve"> &amp; fibrinolysis. 2019. 2019 Dec;30(8):426-428.</w:t>
      </w:r>
    </w:p>
    <w:p w14:paraId="7DCC521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MacDonald, S, Wright, A, </w:t>
      </w:r>
      <w:proofErr w:type="spellStart"/>
      <w:r w:rsidRPr="00AD08C9">
        <w:rPr>
          <w:rFonts w:eastAsia="Calibri"/>
          <w:color w:val="23261F"/>
          <w:sz w:val="22"/>
          <w:szCs w:val="22"/>
        </w:rPr>
        <w:t>Beuche</w:t>
      </w:r>
      <w:proofErr w:type="spellEnd"/>
      <w:r w:rsidRPr="00AD08C9">
        <w:rPr>
          <w:rFonts w:eastAsia="Calibri"/>
          <w:color w:val="23261F"/>
          <w:sz w:val="22"/>
          <w:szCs w:val="22"/>
        </w:rPr>
        <w:t xml:space="preserve">, F, Downes K, Besser M, Symington E, Kelly A, Thomas W. Characterization of a large cohort of patients with unclassified bleeding disorder; clinical features, management of haemostatic challenges and use of global haemostatic assessment with proposed recommendations for diagnosis and treatment. Int J Lab </w:t>
      </w:r>
      <w:proofErr w:type="spellStart"/>
      <w:r w:rsidRPr="00AD08C9">
        <w:rPr>
          <w:rFonts w:eastAsia="Calibri"/>
          <w:color w:val="23261F"/>
          <w:sz w:val="22"/>
          <w:szCs w:val="22"/>
        </w:rPr>
        <w:t>Hematol</w:t>
      </w:r>
      <w:proofErr w:type="spellEnd"/>
      <w:r w:rsidRPr="00AD08C9">
        <w:rPr>
          <w:rFonts w:eastAsia="Calibri"/>
          <w:color w:val="23261F"/>
          <w:sz w:val="22"/>
          <w:szCs w:val="22"/>
        </w:rPr>
        <w:t>. 2020; 42: 116– 125.</w:t>
      </w:r>
    </w:p>
    <w:p w14:paraId="2276CB3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Sleep T, McNeil AF, Wallis S (2019). What is the cost of implementing updated NICE guidance (2018) on venous thromboembolism prophylaxis post hospital discharge for medical patients? Clin Med (Lond), 19, 427.</w:t>
      </w:r>
    </w:p>
    <w:p w14:paraId="425F1576"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MacDonald, S, White, D, </w:t>
      </w:r>
      <w:proofErr w:type="spellStart"/>
      <w:r w:rsidRPr="00AD08C9">
        <w:rPr>
          <w:rFonts w:eastAsia="Calibri"/>
          <w:color w:val="23261F"/>
          <w:sz w:val="22"/>
          <w:szCs w:val="22"/>
        </w:rPr>
        <w:t>Langdown</w:t>
      </w:r>
      <w:proofErr w:type="spellEnd"/>
      <w:r w:rsidRPr="00AD08C9">
        <w:rPr>
          <w:rFonts w:eastAsia="Calibri"/>
          <w:color w:val="23261F"/>
          <w:sz w:val="22"/>
          <w:szCs w:val="22"/>
        </w:rPr>
        <w:t xml:space="preserve">, J, Downes, K, Thomas, W. Investigation of patients with unclassified bleeding disorder and abnormal thrombin generation for physiological coagulation inhibitors reveals multiple abnormalities and a subset of patients with increased tissue factor pathway inhibitor activity. Int J Lab </w:t>
      </w:r>
      <w:proofErr w:type="spellStart"/>
      <w:r w:rsidRPr="00AD08C9">
        <w:rPr>
          <w:rFonts w:eastAsia="Calibri"/>
          <w:color w:val="23261F"/>
          <w:sz w:val="22"/>
          <w:szCs w:val="22"/>
        </w:rPr>
        <w:t>Hematol</w:t>
      </w:r>
      <w:proofErr w:type="spellEnd"/>
      <w:r w:rsidRPr="00AD08C9">
        <w:rPr>
          <w:rFonts w:eastAsia="Calibri"/>
          <w:color w:val="23261F"/>
          <w:sz w:val="22"/>
          <w:szCs w:val="22"/>
        </w:rPr>
        <w:t>. 2020; 00: 1– 10.</w:t>
      </w:r>
    </w:p>
    <w:p w14:paraId="54C71BD8"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White, D., MacDonald, S., Downes, K., Obaji, S. and Desborough, M. (2020), Diagnostic work up of patients with increased bleeding tendency: Comment. Haemophilia. doi:10.1111/hae.13989</w:t>
      </w:r>
    </w:p>
    <w:p w14:paraId="75840E5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Varley J, Johnston A, Symington E, Robinson M, Sheares K, </w:t>
      </w:r>
      <w:proofErr w:type="spellStart"/>
      <w:r w:rsidRPr="00AD08C9">
        <w:rPr>
          <w:rFonts w:eastAsia="Calibri"/>
          <w:color w:val="23261F"/>
          <w:sz w:val="22"/>
          <w:szCs w:val="22"/>
        </w:rPr>
        <w:t>Lavinio</w:t>
      </w:r>
      <w:proofErr w:type="spellEnd"/>
      <w:r w:rsidRPr="00AD08C9">
        <w:rPr>
          <w:rFonts w:eastAsia="Calibri"/>
          <w:color w:val="23261F"/>
          <w:sz w:val="22"/>
          <w:szCs w:val="22"/>
        </w:rPr>
        <w:t xml:space="preserve"> A, Besser M. Thrombotic complications of patients admitted to intensive care with COVID-19 at a teaching hospital in the United Kingdom.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Res. 2020 </w:t>
      </w:r>
      <w:proofErr w:type="gramStart"/>
      <w:r w:rsidRPr="00AD08C9">
        <w:rPr>
          <w:rFonts w:eastAsia="Calibri"/>
          <w:color w:val="23261F"/>
          <w:sz w:val="22"/>
          <w:szCs w:val="22"/>
        </w:rPr>
        <w:t>Jul;191:76</w:t>
      </w:r>
      <w:proofErr w:type="gramEnd"/>
      <w:r w:rsidRPr="00AD08C9">
        <w:rPr>
          <w:rFonts w:eastAsia="Calibri"/>
          <w:color w:val="23261F"/>
          <w:sz w:val="22"/>
          <w:szCs w:val="22"/>
        </w:rPr>
        <w:t>-77.</w:t>
      </w:r>
    </w:p>
    <w:p w14:paraId="66276736"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Gleghorn DM, Thomas W. Prevalence of myeloperoxidase deficiency determined using an ADVIA 2120i. Int J Lab </w:t>
      </w:r>
      <w:proofErr w:type="spellStart"/>
      <w:r w:rsidRPr="00AD08C9">
        <w:rPr>
          <w:rFonts w:eastAsia="Calibri"/>
          <w:color w:val="23261F"/>
          <w:sz w:val="22"/>
          <w:szCs w:val="22"/>
        </w:rPr>
        <w:t>Hematol</w:t>
      </w:r>
      <w:proofErr w:type="spellEnd"/>
      <w:r w:rsidRPr="00AD08C9">
        <w:rPr>
          <w:rFonts w:eastAsia="Calibri"/>
          <w:color w:val="23261F"/>
          <w:sz w:val="22"/>
          <w:szCs w:val="22"/>
        </w:rPr>
        <w:t xml:space="preserve">. 2020 Jun 16.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10.1111/ijlh.13265.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 PMID: 32543762.</w:t>
      </w:r>
    </w:p>
    <w:p w14:paraId="10AF7EA0"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Siu WY, Thomas W, Trivedi R, et al. Can CSF spectrophotometry for "Xanthochromia" be used to detect leaking subarachnoid aneurysms in patients with sickle cell </w:t>
      </w:r>
      <w:proofErr w:type="spellStart"/>
      <w:r w:rsidRPr="00AD08C9">
        <w:rPr>
          <w:rFonts w:eastAsia="Calibri"/>
          <w:color w:val="23261F"/>
          <w:sz w:val="22"/>
          <w:szCs w:val="22"/>
        </w:rPr>
        <w:t>anemia</w:t>
      </w:r>
      <w:proofErr w:type="spellEnd"/>
      <w:r w:rsidRPr="00AD08C9">
        <w:rPr>
          <w:rFonts w:eastAsia="Calibri"/>
          <w:color w:val="23261F"/>
          <w:sz w:val="22"/>
          <w:szCs w:val="22"/>
        </w:rPr>
        <w:t xml:space="preserve"> with negative MRI or CT angiogram despite </w:t>
      </w:r>
      <w:proofErr w:type="gramStart"/>
      <w:r w:rsidRPr="00AD08C9">
        <w:rPr>
          <w:rFonts w:eastAsia="Calibri"/>
          <w:color w:val="23261F"/>
          <w:sz w:val="22"/>
          <w:szCs w:val="22"/>
        </w:rPr>
        <w:t>hyperbilirubinemia?.</w:t>
      </w:r>
      <w:proofErr w:type="gramEnd"/>
      <w:r w:rsidRPr="00AD08C9">
        <w:rPr>
          <w:rFonts w:eastAsia="Calibri"/>
          <w:color w:val="23261F"/>
          <w:sz w:val="22"/>
          <w:szCs w:val="22"/>
        </w:rPr>
        <w:t xml:space="preserve"> Clin Case Rep. 2020;8(5):894-899.</w:t>
      </w:r>
    </w:p>
    <w:p w14:paraId="37998B34"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White, D., MacDonald, S., Bull, T., Hayman, M., de Monteverde-Robb, R., Sapsford, D., </w:t>
      </w:r>
      <w:proofErr w:type="spellStart"/>
      <w:r w:rsidRPr="00AD08C9">
        <w:rPr>
          <w:rFonts w:eastAsia="Calibri"/>
          <w:color w:val="23261F"/>
          <w:sz w:val="22"/>
          <w:szCs w:val="22"/>
        </w:rPr>
        <w:t>Lavinio</w:t>
      </w:r>
      <w:proofErr w:type="spellEnd"/>
      <w:r w:rsidRPr="00AD08C9">
        <w:rPr>
          <w:rFonts w:eastAsia="Calibri"/>
          <w:color w:val="23261F"/>
          <w:sz w:val="22"/>
          <w:szCs w:val="22"/>
        </w:rPr>
        <w:t xml:space="preserve">, A., Varley, J., Johnston, A., Besser, M., &amp; Thomas, W. Heparin resistance in COVID-19 patients in the intensive care unit [published online ahead of print, 2020 May 22] [published correction appears in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Thrombolysis. 2020 Jun </w:t>
      </w:r>
      <w:proofErr w:type="gramStart"/>
      <w:r w:rsidRPr="00AD08C9">
        <w:rPr>
          <w:rFonts w:eastAsia="Calibri"/>
          <w:color w:val="23261F"/>
          <w:sz w:val="22"/>
          <w:szCs w:val="22"/>
        </w:rPr>
        <w:t>22;:</w:t>
      </w:r>
      <w:proofErr w:type="gramEnd"/>
      <w:r w:rsidRPr="00AD08C9">
        <w:rPr>
          <w:rFonts w:eastAsia="Calibri"/>
          <w:color w:val="23261F"/>
          <w:sz w:val="22"/>
          <w:szCs w:val="22"/>
        </w:rPr>
        <w:t xml:space="preserve">].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Thrombolysis. 2020;1-5.</w:t>
      </w:r>
    </w:p>
    <w:p w14:paraId="187E23E2"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Banham-Hall E, Allison A, </w:t>
      </w:r>
      <w:proofErr w:type="spellStart"/>
      <w:r w:rsidRPr="00AD08C9">
        <w:rPr>
          <w:rFonts w:eastAsia="Calibri"/>
          <w:color w:val="23261F"/>
          <w:sz w:val="22"/>
          <w:szCs w:val="22"/>
        </w:rPr>
        <w:t>Santarsieri</w:t>
      </w:r>
      <w:proofErr w:type="spellEnd"/>
      <w:r w:rsidRPr="00AD08C9">
        <w:rPr>
          <w:rFonts w:eastAsia="Calibri"/>
          <w:color w:val="23261F"/>
          <w:sz w:val="22"/>
          <w:szCs w:val="22"/>
        </w:rPr>
        <w:t xml:space="preserve"> A, Gohel M, Crowley MP, Sheares K, Thomas W. An international survey of clinicians regarding their management of venous thromboembolism following the initial 3-6 months of anticoagulation.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Thrombolysis. 2020 Jun 26.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10.1007/s11239-020-02193-6.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3A334E5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White D, Cox-Morton S, MacDonald S, Besser M. Heparin failure and COVID-19: Should we explore other anticoagulants? An observational report regarding in-vitro recovery of anticoagulant action in COVID-19 patients in intensive care.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Res. 2020 Aug </w:t>
      </w:r>
      <w:proofErr w:type="gramStart"/>
      <w:r w:rsidRPr="00AD08C9">
        <w:rPr>
          <w:rFonts w:eastAsia="Calibri"/>
          <w:color w:val="23261F"/>
          <w:sz w:val="22"/>
          <w:szCs w:val="22"/>
        </w:rPr>
        <w:t>9;195:226</w:t>
      </w:r>
      <w:proofErr w:type="gramEnd"/>
      <w:r w:rsidRPr="00AD08C9">
        <w:rPr>
          <w:rFonts w:eastAsia="Calibri"/>
          <w:color w:val="23261F"/>
          <w:sz w:val="22"/>
          <w:szCs w:val="22"/>
        </w:rPr>
        <w:t xml:space="preserve">-227.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10.1016/j.thromres.2020.08.010.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5D517D7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lastRenderedPageBreak/>
        <w:t xml:space="preserve">Thomas W, </w:t>
      </w:r>
      <w:proofErr w:type="spellStart"/>
      <w:r w:rsidRPr="00AD08C9">
        <w:rPr>
          <w:rFonts w:eastAsia="Calibri"/>
          <w:color w:val="23261F"/>
          <w:sz w:val="22"/>
          <w:szCs w:val="22"/>
        </w:rPr>
        <w:t>Mindlina</w:t>
      </w:r>
      <w:proofErr w:type="spellEnd"/>
      <w:r w:rsidRPr="00AD08C9">
        <w:rPr>
          <w:rFonts w:eastAsia="Calibri"/>
          <w:color w:val="23261F"/>
          <w:sz w:val="22"/>
          <w:szCs w:val="22"/>
        </w:rPr>
        <w:t xml:space="preserve"> I, MacDonald S, Besser M. Does age-adjusted D-dimer have a role in assessment of VTE recurrence rates? Comment. Int J Lab </w:t>
      </w:r>
      <w:proofErr w:type="spellStart"/>
      <w:r w:rsidRPr="00AD08C9">
        <w:rPr>
          <w:rFonts w:eastAsia="Calibri"/>
          <w:color w:val="23261F"/>
          <w:sz w:val="22"/>
          <w:szCs w:val="22"/>
        </w:rPr>
        <w:t>Hematol</w:t>
      </w:r>
      <w:proofErr w:type="spellEnd"/>
      <w:r w:rsidRPr="00AD08C9">
        <w:rPr>
          <w:rFonts w:eastAsia="Calibri"/>
          <w:color w:val="23261F"/>
          <w:sz w:val="22"/>
          <w:szCs w:val="22"/>
        </w:rPr>
        <w:t xml:space="preserve">. 2020 Jul 23.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10.1111/ijlh.13294.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1A47A6A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Martin AC, Thomas W, Mahir Z, Crowley MP, Dowling T, Breen K, Collings V, Moore GW, MacDonald S, Hunt BJ, Cohen AT. Direct Oral Anticoagulant Concentrations in Obese and High Body Weight Patients: A Cohort Study.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xml:space="preserve">. 2020 Aug 30.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10.1055/s-0040-1715834.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49D1661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Bull T, Jolley R, Martin-Cabrera P, Thomas W. Autoimmune pancytopenia occurring late after simultaneous pancreas and kidney transplantation. BMJ Case Rep. 2020 Sep 7;13(9</w:t>
      </w:r>
      <w:proofErr w:type="gramStart"/>
      <w:r w:rsidRPr="00AD08C9">
        <w:rPr>
          <w:rFonts w:eastAsia="Calibri"/>
          <w:color w:val="23261F"/>
          <w:sz w:val="22"/>
          <w:szCs w:val="22"/>
        </w:rPr>
        <w:t>):e</w:t>
      </w:r>
      <w:proofErr w:type="gramEnd"/>
      <w:r w:rsidRPr="00AD08C9">
        <w:rPr>
          <w:rFonts w:eastAsia="Calibri"/>
          <w:color w:val="23261F"/>
          <w:sz w:val="22"/>
          <w:szCs w:val="22"/>
        </w:rPr>
        <w:t>235851.</w:t>
      </w:r>
    </w:p>
    <w:p w14:paraId="0146E2F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White D, MacDonald S, Edwards T, Bridgeman C, Hayman M, Sharp M, Cox-Morton S, Duff E, Mahajan S, Moore C, Kirk M, Williams R, Besser M, Thomas W. Evaluation of COVID-19 coagulopathy; laboratory characterization using thrombin generation and nonconventional haemostasis assays. Int J Lab </w:t>
      </w:r>
      <w:proofErr w:type="spellStart"/>
      <w:r w:rsidRPr="00AD08C9">
        <w:rPr>
          <w:rFonts w:eastAsia="Calibri"/>
          <w:color w:val="23261F"/>
          <w:sz w:val="22"/>
          <w:szCs w:val="22"/>
        </w:rPr>
        <w:t>Hematol</w:t>
      </w:r>
      <w:proofErr w:type="spellEnd"/>
      <w:r w:rsidRPr="00AD08C9">
        <w:rPr>
          <w:rFonts w:eastAsia="Calibri"/>
          <w:color w:val="23261F"/>
          <w:sz w:val="22"/>
          <w:szCs w:val="22"/>
        </w:rPr>
        <w:t xml:space="preserve">. 2020 Sep 5.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10.1111/ijlh.13329.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177CF5D2"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Thomas W, Downes K, Desborough MJ. Bleeding of unknown cause and unclassified bleeding disorder; diagnosis, pathophysiology and management. Haemophilia, 2020, article in press.</w:t>
      </w:r>
    </w:p>
    <w:p w14:paraId="2FEF2A98" w14:textId="77777777" w:rsidR="00D80A44" w:rsidRPr="00AD08C9" w:rsidRDefault="00000000" w:rsidP="00E32789">
      <w:pPr>
        <w:pStyle w:val="ListParagraph"/>
        <w:numPr>
          <w:ilvl w:val="0"/>
          <w:numId w:val="3"/>
        </w:numPr>
        <w:spacing w:after="80"/>
        <w:jc w:val="both"/>
        <w:rPr>
          <w:sz w:val="22"/>
          <w:szCs w:val="22"/>
        </w:rPr>
      </w:pPr>
      <w:proofErr w:type="spellStart"/>
      <w:r w:rsidRPr="00AD08C9">
        <w:rPr>
          <w:rFonts w:eastAsia="Calibri"/>
          <w:color w:val="23261F"/>
          <w:sz w:val="22"/>
          <w:szCs w:val="22"/>
        </w:rPr>
        <w:t>Soyode</w:t>
      </w:r>
      <w:proofErr w:type="spellEnd"/>
      <w:r w:rsidRPr="00AD08C9">
        <w:rPr>
          <w:rFonts w:eastAsia="Calibri"/>
          <w:color w:val="23261F"/>
          <w:sz w:val="22"/>
          <w:szCs w:val="22"/>
        </w:rPr>
        <w:t xml:space="preserve">, E., Pritchard, W., Hayman, M., Davenport, A., </w:t>
      </w:r>
      <w:proofErr w:type="spellStart"/>
      <w:r w:rsidRPr="00AD08C9">
        <w:rPr>
          <w:rFonts w:eastAsia="Calibri"/>
          <w:color w:val="23261F"/>
          <w:sz w:val="22"/>
          <w:szCs w:val="22"/>
        </w:rPr>
        <w:t>Sivasothy</w:t>
      </w:r>
      <w:proofErr w:type="spellEnd"/>
      <w:r w:rsidRPr="00AD08C9">
        <w:rPr>
          <w:rFonts w:eastAsia="Calibri"/>
          <w:color w:val="23261F"/>
          <w:sz w:val="22"/>
          <w:szCs w:val="22"/>
        </w:rPr>
        <w:t>, P. and Thomas, W. (2020), Validation of the age‐adjusted D‐dimer in an ambulatory deep vein thrombosis diagnostic service: beware of superficial thrombophlebitis. Br J Haematol. doi:10.1111/bjh.17047</w:t>
      </w:r>
    </w:p>
    <w:p w14:paraId="0541DC2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Beyer-Westendorf J, Tittl L, </w:t>
      </w:r>
      <w:proofErr w:type="spellStart"/>
      <w:r w:rsidRPr="00AD08C9">
        <w:rPr>
          <w:rFonts w:eastAsia="Calibri"/>
          <w:color w:val="23261F"/>
          <w:sz w:val="22"/>
          <w:szCs w:val="22"/>
        </w:rPr>
        <w:t>Bistervels</w:t>
      </w:r>
      <w:proofErr w:type="spellEnd"/>
      <w:r w:rsidRPr="00AD08C9">
        <w:rPr>
          <w:rFonts w:eastAsia="Calibri"/>
          <w:color w:val="23261F"/>
          <w:sz w:val="22"/>
          <w:szCs w:val="22"/>
        </w:rPr>
        <w:t xml:space="preserve"> I, </w:t>
      </w:r>
      <w:proofErr w:type="spellStart"/>
      <w:r w:rsidRPr="00AD08C9">
        <w:rPr>
          <w:rFonts w:eastAsia="Calibri"/>
          <w:color w:val="23261F"/>
          <w:sz w:val="22"/>
          <w:szCs w:val="22"/>
        </w:rPr>
        <w:t>Middeldorp</w:t>
      </w:r>
      <w:proofErr w:type="spellEnd"/>
      <w:r w:rsidRPr="00AD08C9">
        <w:rPr>
          <w:rFonts w:eastAsia="Calibri"/>
          <w:color w:val="23261F"/>
          <w:sz w:val="22"/>
          <w:szCs w:val="22"/>
        </w:rPr>
        <w:t xml:space="preserve"> S, Schaefer C, Paulus W, Thomas W, </w:t>
      </w:r>
      <w:proofErr w:type="spellStart"/>
      <w:r w:rsidRPr="00AD08C9">
        <w:rPr>
          <w:rFonts w:eastAsia="Calibri"/>
          <w:color w:val="23261F"/>
          <w:sz w:val="22"/>
          <w:szCs w:val="22"/>
        </w:rPr>
        <w:t>Kemkes</w:t>
      </w:r>
      <w:proofErr w:type="spellEnd"/>
      <w:r w:rsidRPr="00AD08C9">
        <w:rPr>
          <w:rFonts w:eastAsia="Calibri"/>
          <w:color w:val="23261F"/>
          <w:sz w:val="22"/>
          <w:szCs w:val="22"/>
        </w:rPr>
        <w:t xml:space="preserve">-Matthes B, Marten S, Bornhauser M. Safety of direct oral anticoagulant exposure during pregnancy: a retrospective cohort study. Lancet </w:t>
      </w:r>
      <w:proofErr w:type="spellStart"/>
      <w:r w:rsidRPr="00AD08C9">
        <w:rPr>
          <w:rFonts w:eastAsia="Calibri"/>
          <w:color w:val="23261F"/>
          <w:sz w:val="22"/>
          <w:szCs w:val="22"/>
        </w:rPr>
        <w:t>Haematol</w:t>
      </w:r>
      <w:proofErr w:type="spellEnd"/>
      <w:r w:rsidRPr="00AD08C9">
        <w:rPr>
          <w:rFonts w:eastAsia="Calibri"/>
          <w:color w:val="23261F"/>
          <w:sz w:val="22"/>
          <w:szCs w:val="22"/>
        </w:rPr>
        <w:t>. 2020 Dec;7(12</w:t>
      </w:r>
      <w:proofErr w:type="gramStart"/>
      <w:r w:rsidRPr="00AD08C9">
        <w:rPr>
          <w:rFonts w:eastAsia="Calibri"/>
          <w:color w:val="23261F"/>
          <w:sz w:val="22"/>
          <w:szCs w:val="22"/>
        </w:rPr>
        <w:t>):e</w:t>
      </w:r>
      <w:proofErr w:type="gramEnd"/>
      <w:r w:rsidRPr="00AD08C9">
        <w:rPr>
          <w:rFonts w:eastAsia="Calibri"/>
          <w:color w:val="23261F"/>
          <w:sz w:val="22"/>
          <w:szCs w:val="22"/>
        </w:rPr>
        <w:t>884-e891.</w:t>
      </w:r>
    </w:p>
    <w:p w14:paraId="4AA6A415"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Doyle AJ, Thomas W, Retter A, Besser M, MacDonald S, Breen KA, Desborough MJR, Hunt BJ. Updated hospital associated venous thromboembolism outcomes with 90-days follow-up after hospitalisation for severe COVID-19 in two UK critical care units.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Res. 2020 Oct </w:t>
      </w:r>
      <w:proofErr w:type="gramStart"/>
      <w:r w:rsidRPr="00AD08C9">
        <w:rPr>
          <w:rFonts w:eastAsia="Calibri"/>
          <w:color w:val="23261F"/>
          <w:sz w:val="22"/>
          <w:szCs w:val="22"/>
        </w:rPr>
        <w:t>8;196:454</w:t>
      </w:r>
      <w:proofErr w:type="gramEnd"/>
      <w:r w:rsidRPr="00AD08C9">
        <w:rPr>
          <w:rFonts w:eastAsia="Calibri"/>
          <w:color w:val="23261F"/>
          <w:sz w:val="22"/>
          <w:szCs w:val="22"/>
        </w:rPr>
        <w:t xml:space="preserve"> 456.</w:t>
      </w:r>
    </w:p>
    <w:p w14:paraId="75F1A3C3"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Harada A, Hansell F, D'Souza S, White D, Thomas W. Bleeding diathesis in the older population. Age Ageing. 2020 Oct </w:t>
      </w:r>
      <w:proofErr w:type="gramStart"/>
      <w:r w:rsidRPr="00AD08C9">
        <w:rPr>
          <w:rFonts w:eastAsia="Calibri"/>
          <w:color w:val="23261F"/>
          <w:sz w:val="22"/>
          <w:szCs w:val="22"/>
        </w:rPr>
        <w:t>17:afaa</w:t>
      </w:r>
      <w:proofErr w:type="gramEnd"/>
      <w:r w:rsidRPr="00AD08C9">
        <w:rPr>
          <w:rFonts w:eastAsia="Calibri"/>
          <w:color w:val="23261F"/>
          <w:sz w:val="22"/>
          <w:szCs w:val="22"/>
        </w:rPr>
        <w:t xml:space="preserve">216.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10.1093/ageing/afaa216.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 PMID: 33068105.</w:t>
      </w:r>
    </w:p>
    <w:p w14:paraId="5224682D"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Dutt T, Shaw RJ, Stubbs MJ, Yong J, Bailiff B, Cranfield T, Crowley MP, Desborough MJR, Eyre TA, Gooding R, Grainger J, Hanley JP, Haughton J, Hermans J, Hill QA, Humphrey L, Lowe GC, Lyall H, Mohsin M, Nicolson PLR, Priddee N, </w:t>
      </w:r>
      <w:proofErr w:type="spellStart"/>
      <w:r w:rsidRPr="00AD08C9">
        <w:rPr>
          <w:rFonts w:eastAsia="Calibri"/>
          <w:color w:val="23261F"/>
          <w:sz w:val="22"/>
          <w:szCs w:val="22"/>
        </w:rPr>
        <w:t>Rampotas</w:t>
      </w:r>
      <w:proofErr w:type="spellEnd"/>
      <w:r w:rsidRPr="00AD08C9">
        <w:rPr>
          <w:rFonts w:eastAsia="Calibri"/>
          <w:color w:val="23261F"/>
          <w:sz w:val="22"/>
          <w:szCs w:val="22"/>
        </w:rPr>
        <w:t xml:space="preserve"> A, Rayment R, Rhodes S, Taylor A, Thomas W, Tomkins O, van Veen JJ, Lane S, Toh CH, Scully M. Real-World Evidence of </w:t>
      </w:r>
      <w:proofErr w:type="spellStart"/>
      <w:r w:rsidRPr="00AD08C9">
        <w:rPr>
          <w:rFonts w:eastAsia="Calibri"/>
          <w:color w:val="23261F"/>
          <w:sz w:val="22"/>
          <w:szCs w:val="22"/>
        </w:rPr>
        <w:t>Caplacizumab</w:t>
      </w:r>
      <w:proofErr w:type="spellEnd"/>
      <w:r w:rsidRPr="00AD08C9">
        <w:rPr>
          <w:rFonts w:eastAsia="Calibri"/>
          <w:color w:val="23261F"/>
          <w:sz w:val="22"/>
          <w:szCs w:val="22"/>
        </w:rPr>
        <w:t xml:space="preserve"> Use in the Management of Acute TTP. Blood. 2020 Nov </w:t>
      </w:r>
      <w:proofErr w:type="gramStart"/>
      <w:r w:rsidRPr="00AD08C9">
        <w:rPr>
          <w:rFonts w:eastAsia="Calibri"/>
          <w:color w:val="23261F"/>
          <w:sz w:val="22"/>
          <w:szCs w:val="22"/>
        </w:rPr>
        <w:t>4:blood</w:t>
      </w:r>
      <w:proofErr w:type="gramEnd"/>
      <w:r w:rsidRPr="00AD08C9">
        <w:rPr>
          <w:rFonts w:eastAsia="Calibri"/>
          <w:color w:val="23261F"/>
          <w:sz w:val="22"/>
          <w:szCs w:val="22"/>
        </w:rPr>
        <w:t xml:space="preserve">.2020007599.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10.1182/blood.2020007599.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 PMID: 331503</w:t>
      </w:r>
    </w:p>
    <w:p w14:paraId="59BD5565"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Utility of a recurrence prediction tool (DASH score) at a single centre after unprovoked venous thromboembolism: patient uptake of the tool and </w:t>
      </w:r>
      <w:proofErr w:type="gramStart"/>
      <w:r w:rsidRPr="00AD08C9">
        <w:rPr>
          <w:rFonts w:eastAsia="Calibri"/>
          <w:color w:val="23261F"/>
          <w:sz w:val="22"/>
          <w:szCs w:val="22"/>
        </w:rPr>
        <w:t>short term</w:t>
      </w:r>
      <w:proofErr w:type="gramEnd"/>
      <w:r w:rsidRPr="00AD08C9">
        <w:rPr>
          <w:rFonts w:eastAsia="Calibri"/>
          <w:color w:val="23261F"/>
          <w:sz w:val="22"/>
          <w:szCs w:val="22"/>
        </w:rPr>
        <w:t xml:space="preserve"> risks of stopping anticoagulation.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Thrombolysis. 2021 Feb 2.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10.1007/s11239-021-02382-x.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4F81F5B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Ripoll B, Rubino A, Besser M, </w:t>
      </w:r>
      <w:proofErr w:type="spellStart"/>
      <w:r w:rsidRPr="00AD08C9">
        <w:rPr>
          <w:rFonts w:eastAsia="Calibri"/>
          <w:color w:val="23261F"/>
          <w:sz w:val="22"/>
          <w:szCs w:val="22"/>
        </w:rPr>
        <w:t>Patvardhan</w:t>
      </w:r>
      <w:proofErr w:type="spellEnd"/>
      <w:r w:rsidRPr="00AD08C9">
        <w:rPr>
          <w:rFonts w:eastAsia="Calibri"/>
          <w:color w:val="23261F"/>
          <w:sz w:val="22"/>
          <w:szCs w:val="22"/>
        </w:rPr>
        <w:t xml:space="preserve"> C, Thomas W, Sheares K, Shanahan H, Agrawal B, Webb S, Vuylsteke A. Observational study of thrombosis and Bleeding in COVID-19 VV ECMO patients. Int J </w:t>
      </w:r>
      <w:proofErr w:type="spellStart"/>
      <w:r w:rsidRPr="00AD08C9">
        <w:rPr>
          <w:rFonts w:eastAsia="Calibri"/>
          <w:color w:val="23261F"/>
          <w:sz w:val="22"/>
          <w:szCs w:val="22"/>
        </w:rPr>
        <w:t>Artif</w:t>
      </w:r>
      <w:proofErr w:type="spellEnd"/>
      <w:r w:rsidRPr="00AD08C9">
        <w:rPr>
          <w:rFonts w:eastAsia="Calibri"/>
          <w:color w:val="23261F"/>
          <w:sz w:val="22"/>
          <w:szCs w:val="22"/>
        </w:rPr>
        <w:t xml:space="preserve"> Organs. 2021 Jan 28:391398821989065.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10.1177/0391398821989065.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ahead of print.</w:t>
      </w:r>
    </w:p>
    <w:p w14:paraId="47BCF24E"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Moore GW, Jones PO, </w:t>
      </w:r>
      <w:proofErr w:type="spellStart"/>
      <w:r w:rsidRPr="00AD08C9">
        <w:rPr>
          <w:rFonts w:eastAsia="Calibri"/>
          <w:color w:val="23261F"/>
          <w:sz w:val="22"/>
          <w:szCs w:val="22"/>
        </w:rPr>
        <w:t>Platton</w:t>
      </w:r>
      <w:proofErr w:type="spellEnd"/>
      <w:r w:rsidRPr="00AD08C9">
        <w:rPr>
          <w:rFonts w:eastAsia="Calibri"/>
          <w:color w:val="23261F"/>
          <w:sz w:val="22"/>
          <w:szCs w:val="22"/>
        </w:rPr>
        <w:t xml:space="preserve"> S, Hussain N, White D, Thomas W, Rigano J, </w:t>
      </w:r>
      <w:proofErr w:type="spellStart"/>
      <w:r w:rsidRPr="00AD08C9">
        <w:rPr>
          <w:rFonts w:eastAsia="Calibri"/>
          <w:color w:val="23261F"/>
          <w:sz w:val="22"/>
          <w:szCs w:val="22"/>
        </w:rPr>
        <w:t>Pouplard</w:t>
      </w:r>
      <w:proofErr w:type="spellEnd"/>
      <w:r w:rsidRPr="00AD08C9">
        <w:rPr>
          <w:rFonts w:eastAsia="Calibri"/>
          <w:color w:val="23261F"/>
          <w:sz w:val="22"/>
          <w:szCs w:val="22"/>
        </w:rPr>
        <w:t xml:space="preserve"> C, Gray E, Devreese KMJ. International </w:t>
      </w:r>
      <w:proofErr w:type="spellStart"/>
      <w:r w:rsidRPr="00AD08C9">
        <w:rPr>
          <w:rFonts w:eastAsia="Calibri"/>
          <w:color w:val="23261F"/>
          <w:sz w:val="22"/>
          <w:szCs w:val="22"/>
        </w:rPr>
        <w:t>multicenter</w:t>
      </w:r>
      <w:proofErr w:type="spellEnd"/>
      <w:r w:rsidRPr="00AD08C9">
        <w:rPr>
          <w:rFonts w:eastAsia="Calibri"/>
          <w:color w:val="23261F"/>
          <w:sz w:val="22"/>
          <w:szCs w:val="22"/>
        </w:rPr>
        <w:t xml:space="preserve">, multiplatform study to validate Taipan snake venom time as a lupus anticoagulant screening test with </w:t>
      </w:r>
      <w:proofErr w:type="spellStart"/>
      <w:r w:rsidRPr="00AD08C9">
        <w:rPr>
          <w:rFonts w:eastAsia="Calibri"/>
          <w:color w:val="23261F"/>
          <w:sz w:val="22"/>
          <w:szCs w:val="22"/>
        </w:rPr>
        <w:t>ecarin</w:t>
      </w:r>
      <w:proofErr w:type="spellEnd"/>
      <w:r w:rsidRPr="00AD08C9">
        <w:rPr>
          <w:rFonts w:eastAsia="Calibri"/>
          <w:color w:val="23261F"/>
          <w:sz w:val="22"/>
          <w:szCs w:val="22"/>
        </w:rPr>
        <w:t xml:space="preserve"> time as the confirmatory test: Communication from the ISTH SSC Subcommittee on Lupus Anticoagulant/Antiphospholipid Antibodies.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2021 Dec;19(12):3177-3192.</w:t>
      </w:r>
    </w:p>
    <w:p w14:paraId="36A87F57"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w:t>
      </w:r>
      <w:proofErr w:type="spellStart"/>
      <w:r w:rsidRPr="00AD08C9">
        <w:rPr>
          <w:rFonts w:eastAsia="Calibri"/>
          <w:color w:val="23261F"/>
          <w:sz w:val="22"/>
          <w:szCs w:val="22"/>
        </w:rPr>
        <w:t>Foukaneli</w:t>
      </w:r>
      <w:proofErr w:type="spellEnd"/>
      <w:r w:rsidRPr="00AD08C9">
        <w:rPr>
          <w:rFonts w:eastAsia="Calibri"/>
          <w:color w:val="23261F"/>
          <w:sz w:val="22"/>
          <w:szCs w:val="22"/>
        </w:rPr>
        <w:t xml:space="preserve"> T, Cosgrove J, Massey D, Woodward J, Middleton S, Besser M, Russell N, Amin I, Butler A, Sharkey L. Transplant associated thrombotic microangiopathy and immune haematological complications following intestine containing organ transplantation: experience from over 100 consecutive cases. British Journal of Haematology, 193(5):961-970. Wong D, Thomas W, </w:t>
      </w:r>
      <w:r w:rsidRPr="00AD08C9">
        <w:rPr>
          <w:rFonts w:eastAsia="Calibri"/>
          <w:color w:val="23261F"/>
          <w:sz w:val="22"/>
          <w:szCs w:val="22"/>
        </w:rPr>
        <w:lastRenderedPageBreak/>
        <w:t xml:space="preserve">Butler A, Sharkey L. Bortezomib for treatment-refractory autoimmune haemolytic anaemia following </w:t>
      </w:r>
      <w:proofErr w:type="spellStart"/>
      <w:r w:rsidRPr="00AD08C9">
        <w:rPr>
          <w:rFonts w:eastAsia="Calibri"/>
          <w:color w:val="23261F"/>
          <w:sz w:val="22"/>
          <w:szCs w:val="22"/>
        </w:rPr>
        <w:t>multivisceral</w:t>
      </w:r>
      <w:proofErr w:type="spellEnd"/>
      <w:r w:rsidRPr="00AD08C9">
        <w:rPr>
          <w:rFonts w:eastAsia="Calibri"/>
          <w:color w:val="23261F"/>
          <w:sz w:val="22"/>
          <w:szCs w:val="22"/>
        </w:rPr>
        <w:t xml:space="preserve"> transplantation. BMJ Case Rep. 2021 May 12;14(5</w:t>
      </w:r>
      <w:proofErr w:type="gramStart"/>
      <w:r w:rsidRPr="00AD08C9">
        <w:rPr>
          <w:rFonts w:eastAsia="Calibri"/>
          <w:color w:val="23261F"/>
          <w:sz w:val="22"/>
          <w:szCs w:val="22"/>
        </w:rPr>
        <w:t>):e</w:t>
      </w:r>
      <w:proofErr w:type="gramEnd"/>
      <w:r w:rsidRPr="00AD08C9">
        <w:rPr>
          <w:rFonts w:eastAsia="Calibri"/>
          <w:color w:val="23261F"/>
          <w:sz w:val="22"/>
          <w:szCs w:val="22"/>
        </w:rPr>
        <w:t>241634.</w:t>
      </w:r>
    </w:p>
    <w:p w14:paraId="792A00BF"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Desborough MJR, </w:t>
      </w:r>
      <w:proofErr w:type="spellStart"/>
      <w:r w:rsidRPr="00AD08C9">
        <w:rPr>
          <w:rFonts w:eastAsia="Calibri"/>
          <w:color w:val="23261F"/>
          <w:sz w:val="22"/>
          <w:szCs w:val="22"/>
        </w:rPr>
        <w:t>Obaji</w:t>
      </w:r>
      <w:proofErr w:type="spellEnd"/>
      <w:r w:rsidRPr="00AD08C9">
        <w:rPr>
          <w:rFonts w:eastAsia="Calibri"/>
          <w:color w:val="23261F"/>
          <w:sz w:val="22"/>
          <w:szCs w:val="22"/>
        </w:rPr>
        <w:t xml:space="preserve"> S, Lowe GC, Doree C, Thomas W. Management of surgery, menorrhagia and child-birth for patients with unclassified bleeding disorders: a systematic review of cohort studies. Blood </w:t>
      </w:r>
      <w:proofErr w:type="spellStart"/>
      <w:r w:rsidRPr="00AD08C9">
        <w:rPr>
          <w:rFonts w:eastAsia="Calibri"/>
          <w:color w:val="23261F"/>
          <w:sz w:val="22"/>
          <w:szCs w:val="22"/>
        </w:rPr>
        <w:t>Coagul</w:t>
      </w:r>
      <w:proofErr w:type="spellEnd"/>
      <w:r w:rsidRPr="00AD08C9">
        <w:rPr>
          <w:rFonts w:eastAsia="Calibri"/>
          <w:color w:val="23261F"/>
          <w:sz w:val="22"/>
          <w:szCs w:val="22"/>
        </w:rPr>
        <w:t xml:space="preserve"> Fibrinolysis. 2021 Sep 1;32(6):366-372.</w:t>
      </w:r>
    </w:p>
    <w:p w14:paraId="5B6B9EE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Schofield J, Shaw RJ, Lester W, Thomas W, Toh CH, Dutt T. Intracranial </w:t>
      </w:r>
      <w:proofErr w:type="spellStart"/>
      <w:r w:rsidRPr="00AD08C9">
        <w:rPr>
          <w:rFonts w:eastAsia="Calibri"/>
          <w:color w:val="23261F"/>
          <w:sz w:val="22"/>
          <w:szCs w:val="22"/>
        </w:rPr>
        <w:t>hemorrhage</w:t>
      </w:r>
      <w:proofErr w:type="spellEnd"/>
      <w:r w:rsidRPr="00AD08C9">
        <w:rPr>
          <w:rFonts w:eastAsia="Calibri"/>
          <w:color w:val="23261F"/>
          <w:sz w:val="22"/>
          <w:szCs w:val="22"/>
        </w:rPr>
        <w:t xml:space="preserve"> in immune thrombotic thrombocytopenic purpura treated with </w:t>
      </w:r>
      <w:proofErr w:type="spellStart"/>
      <w:r w:rsidRPr="00AD08C9">
        <w:rPr>
          <w:rFonts w:eastAsia="Calibri"/>
          <w:color w:val="23261F"/>
          <w:sz w:val="22"/>
          <w:szCs w:val="22"/>
        </w:rPr>
        <w:t>caplacizumab</w:t>
      </w:r>
      <w:proofErr w:type="spellEnd"/>
      <w:r w:rsidRPr="00AD08C9">
        <w:rPr>
          <w:rFonts w:eastAsia="Calibri"/>
          <w:color w:val="23261F"/>
          <w:sz w:val="22"/>
          <w:szCs w:val="22"/>
        </w:rPr>
        <w:t xml:space="preserve">.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2021 Aug;19(8):1922-1925.</w:t>
      </w:r>
    </w:p>
    <w:p w14:paraId="4ABC56D7"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Scully M, Singh D, Lown R, Poles A, Levi M, Goldblatt D, </w:t>
      </w:r>
      <w:proofErr w:type="spellStart"/>
      <w:r w:rsidRPr="00AD08C9">
        <w:rPr>
          <w:rFonts w:eastAsia="Calibri"/>
          <w:color w:val="23261F"/>
          <w:sz w:val="22"/>
          <w:szCs w:val="22"/>
        </w:rPr>
        <w:t>Kotoucek</w:t>
      </w:r>
      <w:proofErr w:type="spellEnd"/>
      <w:r w:rsidRPr="00AD08C9">
        <w:rPr>
          <w:rFonts w:eastAsia="Calibri"/>
          <w:color w:val="23261F"/>
          <w:sz w:val="22"/>
          <w:szCs w:val="22"/>
        </w:rPr>
        <w:t xml:space="preserve"> P, Thomas W, Lester W (2021). VITTs: pathological heparin-independent anti-PF4 antibodies-presentation and management. New</w:t>
      </w:r>
    </w:p>
    <w:p w14:paraId="365C5C2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England Journal of Medicine. Published online ahead of print. </w:t>
      </w:r>
      <w:proofErr w:type="spellStart"/>
      <w:r w:rsidRPr="00AD08C9">
        <w:rPr>
          <w:rFonts w:eastAsia="Calibri"/>
          <w:color w:val="23261F"/>
          <w:sz w:val="22"/>
          <w:szCs w:val="22"/>
        </w:rPr>
        <w:t>Lavinio</w:t>
      </w:r>
      <w:proofErr w:type="spellEnd"/>
      <w:r w:rsidRPr="00AD08C9">
        <w:rPr>
          <w:rFonts w:eastAsia="Calibri"/>
          <w:color w:val="23261F"/>
          <w:sz w:val="22"/>
          <w:szCs w:val="22"/>
        </w:rPr>
        <w:t xml:space="preserve"> A, Ercole A, Battaglini D, </w:t>
      </w:r>
      <w:proofErr w:type="spellStart"/>
      <w:r w:rsidRPr="00AD08C9">
        <w:rPr>
          <w:rFonts w:eastAsia="Calibri"/>
          <w:color w:val="23261F"/>
          <w:sz w:val="22"/>
          <w:szCs w:val="22"/>
        </w:rPr>
        <w:t>Magnoni</w:t>
      </w:r>
      <w:proofErr w:type="spellEnd"/>
      <w:r w:rsidRPr="00AD08C9">
        <w:rPr>
          <w:rFonts w:eastAsia="Calibri"/>
          <w:color w:val="23261F"/>
          <w:sz w:val="22"/>
          <w:szCs w:val="22"/>
        </w:rPr>
        <w:t xml:space="preserve"> S, </w:t>
      </w:r>
      <w:proofErr w:type="spellStart"/>
      <w:r w:rsidRPr="00AD08C9">
        <w:rPr>
          <w:rFonts w:eastAsia="Calibri"/>
          <w:color w:val="23261F"/>
          <w:sz w:val="22"/>
          <w:szCs w:val="22"/>
        </w:rPr>
        <w:t>Badenes</w:t>
      </w:r>
      <w:proofErr w:type="spellEnd"/>
      <w:r w:rsidRPr="00AD08C9">
        <w:rPr>
          <w:rFonts w:eastAsia="Calibri"/>
          <w:color w:val="23261F"/>
          <w:sz w:val="22"/>
          <w:szCs w:val="22"/>
        </w:rPr>
        <w:t xml:space="preserve"> R, Taccone FS, </w:t>
      </w:r>
      <w:proofErr w:type="spellStart"/>
      <w:r w:rsidRPr="00AD08C9">
        <w:rPr>
          <w:rFonts w:eastAsia="Calibri"/>
          <w:color w:val="23261F"/>
          <w:sz w:val="22"/>
          <w:szCs w:val="22"/>
        </w:rPr>
        <w:t>Helbok</w:t>
      </w:r>
      <w:proofErr w:type="spellEnd"/>
      <w:r w:rsidRPr="00AD08C9">
        <w:rPr>
          <w:rFonts w:eastAsia="Calibri"/>
          <w:color w:val="23261F"/>
          <w:sz w:val="22"/>
          <w:szCs w:val="22"/>
        </w:rPr>
        <w:t xml:space="preserve"> R, Thomas W, Pelosi P, Robba C; collaborators. Safety profile of enhanced thromboprophylaxis strategies for critically ill COVID-19 patients during the first wave of the pandemic: observational report from 28 European intensive care units. Crit Care. 2021 Apr 22;25(1):155.</w:t>
      </w:r>
    </w:p>
    <w:p w14:paraId="10485382"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White D, MacDonald S. Thrombin generation measured by two Platforms in patients with a bleeding tendency: Comment.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2021 Nov;19(11):2896-2899.</w:t>
      </w:r>
    </w:p>
    <w:p w14:paraId="41B8680F"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Downes K, Evans G, Gidley G, Lowe G, MacDonald S, </w:t>
      </w:r>
      <w:proofErr w:type="spellStart"/>
      <w:r w:rsidRPr="00AD08C9">
        <w:rPr>
          <w:rFonts w:eastAsia="Calibri"/>
          <w:color w:val="23261F"/>
          <w:sz w:val="22"/>
          <w:szCs w:val="22"/>
        </w:rPr>
        <w:t>Obaji</w:t>
      </w:r>
      <w:proofErr w:type="spellEnd"/>
      <w:r w:rsidRPr="00AD08C9">
        <w:rPr>
          <w:rFonts w:eastAsia="Calibri"/>
          <w:color w:val="23261F"/>
          <w:sz w:val="22"/>
          <w:szCs w:val="22"/>
        </w:rPr>
        <w:t xml:space="preserve"> S, O'Donnell JS, Palmer B, Pinto F, Desborough M. Current practice and registration patterns among United Kingdom Haemophilia Centre Doctors' Organisation </w:t>
      </w:r>
      <w:proofErr w:type="spellStart"/>
      <w:r w:rsidRPr="00AD08C9">
        <w:rPr>
          <w:rFonts w:eastAsia="Calibri"/>
          <w:color w:val="23261F"/>
          <w:sz w:val="22"/>
          <w:szCs w:val="22"/>
        </w:rPr>
        <w:t>centers</w:t>
      </w:r>
      <w:proofErr w:type="spellEnd"/>
      <w:r w:rsidRPr="00AD08C9">
        <w:rPr>
          <w:rFonts w:eastAsia="Calibri"/>
          <w:color w:val="23261F"/>
          <w:sz w:val="22"/>
          <w:szCs w:val="22"/>
        </w:rPr>
        <w:t xml:space="preserve"> for patients with unclassified bleeding disorders.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2021 Nov;19(11):2738-2743.</w:t>
      </w:r>
    </w:p>
    <w:p w14:paraId="5A7CEC60"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Khalid A, White D, Sharp M, Duff E, MacDonald S, Fry A, Thomas W. Investigation of platelet function in patients with chronic kidney disease stages IV-V. Int J Lab </w:t>
      </w:r>
      <w:proofErr w:type="spellStart"/>
      <w:r w:rsidRPr="00AD08C9">
        <w:rPr>
          <w:rFonts w:eastAsia="Calibri"/>
          <w:color w:val="23261F"/>
          <w:sz w:val="22"/>
          <w:szCs w:val="22"/>
        </w:rPr>
        <w:t>Hematol</w:t>
      </w:r>
      <w:proofErr w:type="spellEnd"/>
      <w:r w:rsidRPr="00AD08C9">
        <w:rPr>
          <w:rFonts w:eastAsia="Calibri"/>
          <w:color w:val="23261F"/>
          <w:sz w:val="22"/>
          <w:szCs w:val="22"/>
        </w:rPr>
        <w:t>. 2021 Dec;43(6):1606-1611.</w:t>
      </w:r>
    </w:p>
    <w:p w14:paraId="0585126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White D, Moore GW, Besser M, MacDonald S, Thomas W. Direct oral anticoagulants Remove versus Taipan snake venom time for detection of a lupus anticoagulant in patients taking oral direct factor Xa inhibitors. Res </w:t>
      </w:r>
      <w:proofErr w:type="spellStart"/>
      <w:r w:rsidRPr="00AD08C9">
        <w:rPr>
          <w:rFonts w:eastAsia="Calibri"/>
          <w:color w:val="23261F"/>
          <w:sz w:val="22"/>
          <w:szCs w:val="22"/>
        </w:rPr>
        <w:t>Pract</w:t>
      </w:r>
      <w:proofErr w:type="spellEnd"/>
      <w:r w:rsidRPr="00AD08C9">
        <w:rPr>
          <w:rFonts w:eastAsia="Calibri"/>
          <w:color w:val="23261F"/>
          <w:sz w:val="22"/>
          <w:szCs w:val="22"/>
        </w:rPr>
        <w:t xml:space="preserve">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2022 Jan 23;6(1</w:t>
      </w:r>
      <w:proofErr w:type="gramStart"/>
      <w:r w:rsidRPr="00AD08C9">
        <w:rPr>
          <w:rFonts w:eastAsia="Calibri"/>
          <w:color w:val="23261F"/>
          <w:sz w:val="22"/>
          <w:szCs w:val="22"/>
        </w:rPr>
        <w:t>):e</w:t>
      </w:r>
      <w:proofErr w:type="gramEnd"/>
      <w:r w:rsidRPr="00AD08C9">
        <w:rPr>
          <w:rFonts w:eastAsia="Calibri"/>
          <w:color w:val="23261F"/>
          <w:sz w:val="22"/>
          <w:szCs w:val="22"/>
        </w:rPr>
        <w:t>12648.</w:t>
      </w:r>
    </w:p>
    <w:p w14:paraId="5D2049C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Doyle AJ, </w:t>
      </w:r>
      <w:proofErr w:type="spellStart"/>
      <w:r w:rsidRPr="00AD08C9">
        <w:rPr>
          <w:rFonts w:eastAsia="Calibri"/>
          <w:color w:val="23261F"/>
          <w:sz w:val="22"/>
          <w:szCs w:val="22"/>
        </w:rPr>
        <w:t>Springell</w:t>
      </w:r>
      <w:proofErr w:type="spellEnd"/>
      <w:r w:rsidRPr="00AD08C9">
        <w:rPr>
          <w:rFonts w:eastAsia="Calibri"/>
          <w:color w:val="23261F"/>
          <w:sz w:val="22"/>
          <w:szCs w:val="22"/>
        </w:rPr>
        <w:t xml:space="preserve"> D, Dutt T, Kenworthy J, Ling G, Desborough M, Thomas W, Hermans J, Vanveen J, Cranfield T, </w:t>
      </w:r>
      <w:proofErr w:type="spellStart"/>
      <w:r w:rsidRPr="00AD08C9">
        <w:rPr>
          <w:rFonts w:eastAsia="Calibri"/>
          <w:color w:val="23261F"/>
          <w:sz w:val="22"/>
          <w:szCs w:val="22"/>
        </w:rPr>
        <w:t>Belsham</w:t>
      </w:r>
      <w:proofErr w:type="spellEnd"/>
      <w:r w:rsidRPr="00AD08C9">
        <w:rPr>
          <w:rFonts w:eastAsia="Calibri"/>
          <w:color w:val="23261F"/>
          <w:sz w:val="22"/>
          <w:szCs w:val="22"/>
        </w:rPr>
        <w:t xml:space="preserve"> E, Hill QA, Lester W, Scully M. Acquired thrombotic thrombocytopenic purpura: A rare disease associated with BNT162b2 vaccine: Comment from Doyle et al.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2022 Mar;20(3):781-783.</w:t>
      </w:r>
    </w:p>
    <w:p w14:paraId="3ABBD00E"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Jackson EM, Harper S, Webb GJ, Thomas W. Severe refractory warm autoimmune haemolytic anaemia after the SARS-CoV-2 Pfizer-BioNTech vaccine (BNT162b2 mRNA) managed with emergency splenectomy and complement inhibition with eculizumab. BMJ Case Rep. 2022 Aug 31;15(8</w:t>
      </w:r>
      <w:proofErr w:type="gramStart"/>
      <w:r w:rsidRPr="00AD08C9">
        <w:rPr>
          <w:rFonts w:eastAsia="Calibri"/>
          <w:color w:val="23261F"/>
          <w:sz w:val="22"/>
          <w:szCs w:val="22"/>
        </w:rPr>
        <w:t>):e</w:t>
      </w:r>
      <w:proofErr w:type="gramEnd"/>
      <w:r w:rsidRPr="00AD08C9">
        <w:rPr>
          <w:rFonts w:eastAsia="Calibri"/>
          <w:color w:val="23261F"/>
          <w:sz w:val="22"/>
          <w:szCs w:val="22"/>
        </w:rPr>
        <w:t>250774.</w:t>
      </w:r>
    </w:p>
    <w:p w14:paraId="522984B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Doyle AJ, Stubbs MJ, Lester W, Thomas W, Westwood JP, Thomas M, Percy C, </w:t>
      </w:r>
      <w:proofErr w:type="spellStart"/>
      <w:r w:rsidRPr="00AD08C9">
        <w:rPr>
          <w:rFonts w:eastAsia="Calibri"/>
          <w:color w:val="23261F"/>
          <w:sz w:val="22"/>
          <w:szCs w:val="22"/>
        </w:rPr>
        <w:t>Prasannan</w:t>
      </w:r>
      <w:proofErr w:type="spellEnd"/>
      <w:r w:rsidRPr="00AD08C9">
        <w:rPr>
          <w:rFonts w:eastAsia="Calibri"/>
          <w:color w:val="23261F"/>
          <w:sz w:val="22"/>
          <w:szCs w:val="22"/>
        </w:rPr>
        <w:t xml:space="preserve"> N, Scully M. The use of obinutuzumab and ofatumumab in the treatment of immune thrombotic thrombocytopenic purpura. Br J Haematol. 2022 Jul;198(2):391-396.</w:t>
      </w:r>
    </w:p>
    <w:p w14:paraId="1DD58CA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Castle D, Desborough MJR, Kemp M, Lowe G, Thomas W, </w:t>
      </w:r>
      <w:proofErr w:type="spellStart"/>
      <w:r w:rsidRPr="00AD08C9">
        <w:rPr>
          <w:rFonts w:eastAsia="Calibri"/>
          <w:color w:val="23261F"/>
          <w:sz w:val="22"/>
          <w:szCs w:val="22"/>
        </w:rPr>
        <w:t>Obaji</w:t>
      </w:r>
      <w:proofErr w:type="spellEnd"/>
      <w:r w:rsidRPr="00AD08C9">
        <w:rPr>
          <w:rFonts w:eastAsia="Calibri"/>
          <w:color w:val="23261F"/>
          <w:sz w:val="22"/>
          <w:szCs w:val="22"/>
        </w:rPr>
        <w:t xml:space="preserve"> S. Outcomes and management of pregnancy in women with bleeding disorder of unknown cause.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2022 Nov;20(11):2519-2525.</w:t>
      </w:r>
    </w:p>
    <w:p w14:paraId="24823F55"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Craven B, Lester W, Boyce S, Thomas W, </w:t>
      </w:r>
      <w:proofErr w:type="spellStart"/>
      <w:r w:rsidRPr="00AD08C9">
        <w:rPr>
          <w:rFonts w:eastAsia="Calibri"/>
          <w:color w:val="23261F"/>
          <w:sz w:val="22"/>
          <w:szCs w:val="22"/>
        </w:rPr>
        <w:t>Kanny</w:t>
      </w:r>
      <w:proofErr w:type="spellEnd"/>
      <w:r w:rsidRPr="00AD08C9">
        <w:rPr>
          <w:rFonts w:eastAsia="Calibri"/>
          <w:color w:val="23261F"/>
          <w:sz w:val="22"/>
          <w:szCs w:val="22"/>
        </w:rPr>
        <w:t xml:space="preserve"> A, Davies C, </w:t>
      </w:r>
      <w:proofErr w:type="spellStart"/>
      <w:r w:rsidRPr="00AD08C9">
        <w:rPr>
          <w:rFonts w:eastAsia="Calibri"/>
          <w:color w:val="23261F"/>
          <w:sz w:val="22"/>
          <w:szCs w:val="22"/>
        </w:rPr>
        <w:t>Pavord</w:t>
      </w:r>
      <w:proofErr w:type="spellEnd"/>
      <w:r w:rsidRPr="00AD08C9">
        <w:rPr>
          <w:rFonts w:eastAsia="Calibri"/>
          <w:color w:val="23261F"/>
          <w:sz w:val="22"/>
          <w:szCs w:val="22"/>
        </w:rPr>
        <w:t xml:space="preserve"> S, Hermans J, Makris M, Bart- Smith E, Arnott S, Hunt BJ, </w:t>
      </w:r>
      <w:proofErr w:type="spellStart"/>
      <w:r w:rsidRPr="00AD08C9">
        <w:rPr>
          <w:rFonts w:eastAsia="Calibri"/>
          <w:color w:val="23261F"/>
          <w:sz w:val="22"/>
          <w:szCs w:val="22"/>
        </w:rPr>
        <w:t>Chudakou</w:t>
      </w:r>
      <w:proofErr w:type="spellEnd"/>
      <w:r w:rsidRPr="00AD08C9">
        <w:rPr>
          <w:rFonts w:eastAsia="Calibri"/>
          <w:color w:val="23261F"/>
          <w:sz w:val="22"/>
          <w:szCs w:val="22"/>
        </w:rPr>
        <w:t xml:space="preserve"> P, Calvert A, Singh D, Scully M. Natural history of PF4 antibodies in vaccine-induced immune thrombocytopenia and thrombosis. Blood. 2022 Apr 21;139(16):2553-2560.</w:t>
      </w:r>
    </w:p>
    <w:p w14:paraId="33C4771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Doyle AJ, Stubbs MJ, Dutt T, Lester W, Thomas W, van Veen J, Hermans J, Cranfield T, Hill QA, Clark A, Bagot C, Austin S, Westwood JP, Thomas M, Scully M. Long-term risk of relapse in immune- mediated thrombotic thrombocytopenic purpura and the role of anti-CD20 therapy. Blood. 2023 Jan 19;141(3):285-294.</w:t>
      </w:r>
    </w:p>
    <w:p w14:paraId="1319BE0C"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lastRenderedPageBreak/>
        <w:t xml:space="preserve">Aggarwal A, White D, </w:t>
      </w:r>
      <w:proofErr w:type="spellStart"/>
      <w:r w:rsidRPr="00AD08C9">
        <w:rPr>
          <w:rFonts w:eastAsia="Calibri"/>
          <w:color w:val="23261F"/>
          <w:sz w:val="22"/>
          <w:szCs w:val="22"/>
        </w:rPr>
        <w:t>Pavord</w:t>
      </w:r>
      <w:proofErr w:type="spellEnd"/>
      <w:r w:rsidRPr="00AD08C9">
        <w:rPr>
          <w:rFonts w:eastAsia="Calibri"/>
          <w:color w:val="23261F"/>
          <w:sz w:val="22"/>
          <w:szCs w:val="22"/>
        </w:rPr>
        <w:t xml:space="preserve"> S, Thomas W, Desborough MJR. Daratumumab for refractory immune- mediated thrombotic thrombocytopenic purpura. Br J Haematol. 2023 Jul;202(2):429-433.</w:t>
      </w:r>
    </w:p>
    <w:p w14:paraId="5D9C7C2B"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The natural history of bleeding disorder of unknown cause.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2023 Jul;21(7):1747-1749.</w:t>
      </w:r>
    </w:p>
    <w:p w14:paraId="57546519" w14:textId="77777777" w:rsidR="00D80A44" w:rsidRPr="00AD08C9" w:rsidRDefault="00000000" w:rsidP="00E32789">
      <w:pPr>
        <w:pStyle w:val="ListParagraph"/>
        <w:numPr>
          <w:ilvl w:val="0"/>
          <w:numId w:val="3"/>
        </w:numPr>
        <w:spacing w:after="80"/>
        <w:jc w:val="both"/>
        <w:rPr>
          <w:sz w:val="22"/>
          <w:szCs w:val="22"/>
        </w:rPr>
      </w:pPr>
      <w:proofErr w:type="spellStart"/>
      <w:r w:rsidRPr="00AD08C9">
        <w:rPr>
          <w:rFonts w:eastAsia="Calibri"/>
          <w:color w:val="23261F"/>
          <w:sz w:val="22"/>
          <w:szCs w:val="22"/>
        </w:rPr>
        <w:t>Rugeri</w:t>
      </w:r>
      <w:proofErr w:type="spellEnd"/>
      <w:r w:rsidRPr="00AD08C9">
        <w:rPr>
          <w:rFonts w:eastAsia="Calibri"/>
          <w:color w:val="23261F"/>
          <w:sz w:val="22"/>
          <w:szCs w:val="22"/>
        </w:rPr>
        <w:t xml:space="preserve"> L, Thomas W, Schirner K, Heyder L, Auerswald G. A Systematic Review of Efficacy and Safety of Plasma-Derived von Willebrand Factor/Factor VIII Concentrate (</w:t>
      </w:r>
      <w:proofErr w:type="spellStart"/>
      <w:r w:rsidRPr="00AD08C9">
        <w:rPr>
          <w:rFonts w:eastAsia="Calibri"/>
          <w:color w:val="23261F"/>
          <w:sz w:val="22"/>
          <w:szCs w:val="22"/>
        </w:rPr>
        <w:t>Voncento</w:t>
      </w:r>
      <w:proofErr w:type="spellEnd"/>
      <w:r w:rsidRPr="00AD08C9">
        <w:rPr>
          <w:rFonts w:eastAsia="Calibri"/>
          <w:color w:val="23261F"/>
          <w:sz w:val="22"/>
          <w:szCs w:val="22"/>
        </w:rPr>
        <w:t xml:space="preserve">) in von Willebrand Disease.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2024 Sep;124(9):828-841.</w:t>
      </w:r>
    </w:p>
    <w:p w14:paraId="5BB74400"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Thomas W. Comment: Passenger lymphocyte syndrome as a rare cause of </w:t>
      </w:r>
      <w:proofErr w:type="spellStart"/>
      <w:r w:rsidRPr="00AD08C9">
        <w:rPr>
          <w:rFonts w:eastAsia="Calibri"/>
          <w:color w:val="23261F"/>
          <w:sz w:val="22"/>
          <w:szCs w:val="22"/>
        </w:rPr>
        <w:t>hemolysis</w:t>
      </w:r>
      <w:proofErr w:type="spellEnd"/>
      <w:r w:rsidRPr="00AD08C9">
        <w:rPr>
          <w:rFonts w:eastAsia="Calibri"/>
          <w:color w:val="23261F"/>
          <w:sz w:val="22"/>
          <w:szCs w:val="22"/>
        </w:rPr>
        <w:t xml:space="preserve"> in a patient after small intestine transplantation - A case report and review of the literature. Asian J </w:t>
      </w:r>
      <w:proofErr w:type="spellStart"/>
      <w:r w:rsidRPr="00AD08C9">
        <w:rPr>
          <w:rFonts w:eastAsia="Calibri"/>
          <w:color w:val="23261F"/>
          <w:sz w:val="22"/>
          <w:szCs w:val="22"/>
        </w:rPr>
        <w:t>Transfus</w:t>
      </w:r>
      <w:proofErr w:type="spellEnd"/>
      <w:r w:rsidRPr="00AD08C9">
        <w:rPr>
          <w:rFonts w:eastAsia="Calibri"/>
          <w:color w:val="23261F"/>
          <w:sz w:val="22"/>
          <w:szCs w:val="22"/>
        </w:rPr>
        <w:t xml:space="preserve"> Sci. 2024 Jul-Dec;18(2):373-374.</w:t>
      </w:r>
    </w:p>
    <w:p w14:paraId="20B89EA0"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Kelly C, Thomas W, Baker RI, O'Donnell JS, Sanchez-</w:t>
      </w:r>
      <w:proofErr w:type="spellStart"/>
      <w:r w:rsidRPr="00AD08C9">
        <w:rPr>
          <w:rFonts w:eastAsia="Calibri"/>
          <w:color w:val="23261F"/>
          <w:sz w:val="22"/>
          <w:szCs w:val="22"/>
        </w:rPr>
        <w:t>Luceros</w:t>
      </w:r>
      <w:proofErr w:type="spellEnd"/>
      <w:r w:rsidRPr="00AD08C9">
        <w:rPr>
          <w:rFonts w:eastAsia="Calibri"/>
          <w:color w:val="23261F"/>
          <w:sz w:val="22"/>
          <w:szCs w:val="22"/>
        </w:rPr>
        <w:t xml:space="preserve"> A, Lavin M. Examining variability in the diagnosis and management of people with bleeding disorders of unknown cause: communication from the ISTH SSC Subcommittee on von Willebrand Factor.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2024 Oct;22(10):2900-2909.</w:t>
      </w:r>
    </w:p>
    <w:p w14:paraId="65AA25CE"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Brannigan JFM, Gillespie CS, Adegboyega G, Watson M, Lee KS, Mazzoleni A, Goacher E, Mantle O, Omar V, Gamage G, Yanez Touzet A, </w:t>
      </w:r>
      <w:proofErr w:type="spellStart"/>
      <w:r w:rsidRPr="00AD08C9">
        <w:rPr>
          <w:rFonts w:eastAsia="Calibri"/>
          <w:color w:val="23261F"/>
          <w:sz w:val="22"/>
          <w:szCs w:val="22"/>
        </w:rPr>
        <w:t>Mowforth</w:t>
      </w:r>
      <w:proofErr w:type="spellEnd"/>
      <w:r w:rsidRPr="00AD08C9">
        <w:rPr>
          <w:rFonts w:eastAsia="Calibri"/>
          <w:color w:val="23261F"/>
          <w:sz w:val="22"/>
          <w:szCs w:val="22"/>
        </w:rPr>
        <w:t xml:space="preserve"> O, Thomas W, Uprichard J, Hutchinson PJ, Stubbs DJ, Davies BM; ICENI Working Group. Impact of antithrombotic agents on outcomes in patients requiring surgery for chronic subdural haematoma: a systematic review and meta-analysis. Br J </w:t>
      </w:r>
      <w:proofErr w:type="spellStart"/>
      <w:r w:rsidRPr="00AD08C9">
        <w:rPr>
          <w:rFonts w:eastAsia="Calibri"/>
          <w:color w:val="23261F"/>
          <w:sz w:val="22"/>
          <w:szCs w:val="22"/>
        </w:rPr>
        <w:t>Neurosurg</w:t>
      </w:r>
      <w:proofErr w:type="spellEnd"/>
      <w:r w:rsidRPr="00AD08C9">
        <w:rPr>
          <w:rFonts w:eastAsia="Calibri"/>
          <w:color w:val="23261F"/>
          <w:sz w:val="22"/>
          <w:szCs w:val="22"/>
        </w:rPr>
        <w:t>. 2024 Apr 8:1-8.</w:t>
      </w:r>
    </w:p>
    <w:p w14:paraId="4B794D31"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Baker RI, Choi P, Curry N, Gebhart J, Gomez K, </w:t>
      </w:r>
      <w:proofErr w:type="spellStart"/>
      <w:r w:rsidRPr="00AD08C9">
        <w:rPr>
          <w:rFonts w:eastAsia="Calibri"/>
          <w:color w:val="23261F"/>
          <w:sz w:val="22"/>
          <w:szCs w:val="22"/>
        </w:rPr>
        <w:t>Henskens</w:t>
      </w:r>
      <w:proofErr w:type="spellEnd"/>
      <w:r w:rsidRPr="00AD08C9">
        <w:rPr>
          <w:rFonts w:eastAsia="Calibri"/>
          <w:color w:val="23261F"/>
          <w:sz w:val="22"/>
          <w:szCs w:val="22"/>
        </w:rPr>
        <w:t xml:space="preserve"> Y, Heubel-</w:t>
      </w:r>
      <w:proofErr w:type="spellStart"/>
      <w:r w:rsidRPr="00AD08C9">
        <w:rPr>
          <w:rFonts w:eastAsia="Calibri"/>
          <w:color w:val="23261F"/>
          <w:sz w:val="22"/>
          <w:szCs w:val="22"/>
        </w:rPr>
        <w:t>Moenen</w:t>
      </w:r>
      <w:proofErr w:type="spellEnd"/>
      <w:r w:rsidRPr="00AD08C9">
        <w:rPr>
          <w:rFonts w:eastAsia="Calibri"/>
          <w:color w:val="23261F"/>
          <w:sz w:val="22"/>
          <w:szCs w:val="22"/>
        </w:rPr>
        <w:t xml:space="preserve"> F, James P, Kadir RA, </w:t>
      </w:r>
      <w:proofErr w:type="spellStart"/>
      <w:r w:rsidRPr="00AD08C9">
        <w:rPr>
          <w:rFonts w:eastAsia="Calibri"/>
          <w:color w:val="23261F"/>
          <w:sz w:val="22"/>
          <w:szCs w:val="22"/>
        </w:rPr>
        <w:t>Kouides</w:t>
      </w:r>
      <w:proofErr w:type="spellEnd"/>
      <w:r w:rsidRPr="00AD08C9">
        <w:rPr>
          <w:rFonts w:eastAsia="Calibri"/>
          <w:color w:val="23261F"/>
          <w:sz w:val="22"/>
          <w:szCs w:val="22"/>
        </w:rPr>
        <w:t xml:space="preserve"> P, Lavin M, </w:t>
      </w:r>
      <w:proofErr w:type="spellStart"/>
      <w:r w:rsidRPr="00AD08C9">
        <w:rPr>
          <w:rFonts w:eastAsia="Calibri"/>
          <w:color w:val="23261F"/>
          <w:sz w:val="22"/>
          <w:szCs w:val="22"/>
        </w:rPr>
        <w:t>Lordkipanidze</w:t>
      </w:r>
      <w:proofErr w:type="spellEnd"/>
      <w:r w:rsidRPr="00AD08C9">
        <w:rPr>
          <w:rFonts w:eastAsia="Calibri"/>
          <w:color w:val="23261F"/>
          <w:sz w:val="22"/>
          <w:szCs w:val="22"/>
        </w:rPr>
        <w:t xml:space="preserve"> M, Lowe G, Mumford A, Mutch N, Nagler M, Othman M, </w:t>
      </w:r>
      <w:proofErr w:type="spellStart"/>
      <w:r w:rsidRPr="00AD08C9">
        <w:rPr>
          <w:rFonts w:eastAsia="Calibri"/>
          <w:color w:val="23261F"/>
          <w:sz w:val="22"/>
          <w:szCs w:val="22"/>
        </w:rPr>
        <w:t>Pabinger</w:t>
      </w:r>
      <w:proofErr w:type="spellEnd"/>
      <w:r w:rsidRPr="00AD08C9">
        <w:rPr>
          <w:rFonts w:eastAsia="Calibri"/>
          <w:color w:val="23261F"/>
          <w:sz w:val="22"/>
          <w:szCs w:val="22"/>
        </w:rPr>
        <w:t xml:space="preserve"> I, </w:t>
      </w:r>
      <w:proofErr w:type="spellStart"/>
      <w:r w:rsidRPr="00AD08C9">
        <w:rPr>
          <w:rFonts w:eastAsia="Calibri"/>
          <w:color w:val="23261F"/>
          <w:sz w:val="22"/>
          <w:szCs w:val="22"/>
        </w:rPr>
        <w:t>Sidonio</w:t>
      </w:r>
      <w:proofErr w:type="spellEnd"/>
      <w:r w:rsidRPr="00AD08C9">
        <w:rPr>
          <w:rFonts w:eastAsia="Calibri"/>
          <w:color w:val="23261F"/>
          <w:sz w:val="22"/>
          <w:szCs w:val="22"/>
        </w:rPr>
        <w:t xml:space="preserve"> R, Thomas W, O'Donnell JS; ISTH SSC Von Willebrand Factor, Platelet Physiology, and Women’s Health Issues in Thrombosis and Haemostasis. Standardization of definition and management for bleeding disorder of unknown cause: communication from the SSC of the ISTH. J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2024 Jul;22(7):2059-2070.</w:t>
      </w:r>
    </w:p>
    <w:p w14:paraId="07932639"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Stubbs M, Keogh L, Gounder P, Carter M, Lester W, Taylor A, Clark A, Thomas W, Dutt T, Hermans J, van Veen J, Evans R, Alamelu J, Desborough M, Westwood JP, Scully M. Long-term follow-up outcomes in congenital thrombotic thrombocytopenic purpura. Blood. 2025 Nov 13;146(20):2457- 2463.</w:t>
      </w:r>
    </w:p>
    <w:p w14:paraId="332E0EE2"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Gurumurthy G, Kisiel F, Reynolds L, Thomas W, Othman M, </w:t>
      </w:r>
      <w:proofErr w:type="spellStart"/>
      <w:r w:rsidRPr="00AD08C9">
        <w:rPr>
          <w:rFonts w:eastAsia="Calibri"/>
          <w:color w:val="23261F"/>
          <w:sz w:val="22"/>
          <w:szCs w:val="22"/>
        </w:rPr>
        <w:t>Arachchillage</w:t>
      </w:r>
      <w:proofErr w:type="spellEnd"/>
      <w:r w:rsidRPr="00AD08C9">
        <w:rPr>
          <w:rFonts w:eastAsia="Calibri"/>
          <w:color w:val="23261F"/>
          <w:sz w:val="22"/>
          <w:szCs w:val="22"/>
        </w:rPr>
        <w:t xml:space="preserve"> DJ, Thachil J. Machine Learning in Venous Thromboembolism-Why and What Next? Semin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Hemost</w:t>
      </w:r>
      <w:proofErr w:type="spellEnd"/>
      <w:r w:rsidRPr="00AD08C9">
        <w:rPr>
          <w:rFonts w:eastAsia="Calibri"/>
          <w:color w:val="23261F"/>
          <w:sz w:val="22"/>
          <w:szCs w:val="22"/>
        </w:rPr>
        <w:t xml:space="preserve">. 2026 Mar;52(2):219-235. </w:t>
      </w:r>
      <w:proofErr w:type="spellStart"/>
      <w:r w:rsidRPr="00AD08C9">
        <w:rPr>
          <w:rFonts w:eastAsia="Calibri"/>
          <w:color w:val="23261F"/>
          <w:sz w:val="22"/>
          <w:szCs w:val="22"/>
        </w:rPr>
        <w:t>doi</w:t>
      </w:r>
      <w:proofErr w:type="spellEnd"/>
      <w:r w:rsidRPr="00AD08C9">
        <w:rPr>
          <w:rFonts w:eastAsia="Calibri"/>
          <w:color w:val="23261F"/>
          <w:sz w:val="22"/>
          <w:szCs w:val="22"/>
        </w:rPr>
        <w:t xml:space="preserve">: 10.1055/a-2669-7933. </w:t>
      </w:r>
      <w:proofErr w:type="spellStart"/>
      <w:r w:rsidRPr="00AD08C9">
        <w:rPr>
          <w:rFonts w:eastAsia="Calibri"/>
          <w:color w:val="23261F"/>
          <w:sz w:val="22"/>
          <w:szCs w:val="22"/>
        </w:rPr>
        <w:t>Epub</w:t>
      </w:r>
      <w:proofErr w:type="spellEnd"/>
      <w:r w:rsidRPr="00AD08C9">
        <w:rPr>
          <w:rFonts w:eastAsia="Calibri"/>
          <w:color w:val="23261F"/>
          <w:sz w:val="22"/>
          <w:szCs w:val="22"/>
        </w:rPr>
        <w:t xml:space="preserve"> 2025 Aug 19. PMID: 40829629.</w:t>
      </w:r>
    </w:p>
    <w:p w14:paraId="08FDB418"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Wilson M, </w:t>
      </w:r>
      <w:proofErr w:type="spellStart"/>
      <w:r w:rsidRPr="00AD08C9">
        <w:rPr>
          <w:rFonts w:eastAsia="Calibri"/>
          <w:color w:val="23261F"/>
          <w:sz w:val="22"/>
          <w:szCs w:val="22"/>
        </w:rPr>
        <w:t>Castaman</w:t>
      </w:r>
      <w:proofErr w:type="spellEnd"/>
      <w:r w:rsidRPr="00AD08C9">
        <w:rPr>
          <w:rFonts w:eastAsia="Calibri"/>
          <w:color w:val="23261F"/>
          <w:sz w:val="22"/>
          <w:szCs w:val="22"/>
        </w:rPr>
        <w:t xml:space="preserve"> G, Thomas W, Millar C, Escolar G, </w:t>
      </w:r>
      <w:proofErr w:type="spellStart"/>
      <w:r w:rsidRPr="00AD08C9">
        <w:rPr>
          <w:rFonts w:eastAsia="Calibri"/>
          <w:color w:val="23261F"/>
          <w:sz w:val="22"/>
          <w:szCs w:val="22"/>
        </w:rPr>
        <w:t>Miesbach</w:t>
      </w:r>
      <w:proofErr w:type="spellEnd"/>
      <w:r w:rsidRPr="00AD08C9">
        <w:rPr>
          <w:rFonts w:eastAsia="Calibri"/>
          <w:color w:val="23261F"/>
          <w:sz w:val="22"/>
          <w:szCs w:val="22"/>
        </w:rPr>
        <w:t xml:space="preserve"> W, McDade C, Tomic R, Yan S. Cost- effectiveness of </w:t>
      </w:r>
      <w:proofErr w:type="spellStart"/>
      <w:r w:rsidRPr="00AD08C9">
        <w:rPr>
          <w:rFonts w:eastAsia="Calibri"/>
          <w:color w:val="23261F"/>
          <w:sz w:val="22"/>
          <w:szCs w:val="22"/>
        </w:rPr>
        <w:t>Voncento</w:t>
      </w:r>
      <w:proofErr w:type="spellEnd"/>
      <w:r w:rsidRPr="00AD08C9">
        <w:rPr>
          <w:rFonts w:eastAsia="Calibri"/>
          <w:color w:val="23261F"/>
          <w:sz w:val="22"/>
          <w:szCs w:val="22"/>
        </w:rPr>
        <w:t xml:space="preserve"> prophylaxis vs on-demand treatment in von Willebrand disease in the United Kingdom. Blood Adv. 2025 Mar 25;9(6):1312-1319.</w:t>
      </w:r>
    </w:p>
    <w:p w14:paraId="07F2B4D8"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Reeder F, Griffin J, Carter M, Lowing H, Babu P, Quarrell A, Moore T, </w:t>
      </w:r>
      <w:proofErr w:type="spellStart"/>
      <w:r w:rsidRPr="00AD08C9">
        <w:rPr>
          <w:rFonts w:eastAsia="Calibri"/>
          <w:color w:val="23261F"/>
          <w:sz w:val="22"/>
          <w:szCs w:val="22"/>
        </w:rPr>
        <w:t>Foukaneli</w:t>
      </w:r>
      <w:proofErr w:type="spellEnd"/>
      <w:r w:rsidRPr="00AD08C9">
        <w:rPr>
          <w:rFonts w:eastAsia="Calibri"/>
          <w:color w:val="23261F"/>
          <w:sz w:val="22"/>
          <w:szCs w:val="22"/>
        </w:rPr>
        <w:t xml:space="preserve"> T, Besser M, Amin I, Woodward J, Russell N, Massey D, Gaurav R, Sharkey L, Rutter C, Butler A, Thomas W. Bleeding and thrombosis in intestinal transplantation; data from 145 consecutive adult transplants. Res </w:t>
      </w:r>
      <w:proofErr w:type="spellStart"/>
      <w:r w:rsidRPr="00AD08C9">
        <w:rPr>
          <w:rFonts w:eastAsia="Calibri"/>
          <w:color w:val="23261F"/>
          <w:sz w:val="22"/>
          <w:szCs w:val="22"/>
        </w:rPr>
        <w:t>Pract</w:t>
      </w:r>
      <w:proofErr w:type="spellEnd"/>
      <w:r w:rsidRPr="00AD08C9">
        <w:rPr>
          <w:rFonts w:eastAsia="Calibri"/>
          <w:color w:val="23261F"/>
          <w:sz w:val="22"/>
          <w:szCs w:val="22"/>
        </w:rPr>
        <w:t xml:space="preserve"> </w:t>
      </w:r>
      <w:proofErr w:type="spellStart"/>
      <w:r w:rsidRPr="00AD08C9">
        <w:rPr>
          <w:rFonts w:eastAsia="Calibri"/>
          <w:color w:val="23261F"/>
          <w:sz w:val="22"/>
          <w:szCs w:val="22"/>
        </w:rPr>
        <w:t>Thromb</w:t>
      </w:r>
      <w:proofErr w:type="spellEnd"/>
      <w:r w:rsidRPr="00AD08C9">
        <w:rPr>
          <w:rFonts w:eastAsia="Calibri"/>
          <w:color w:val="23261F"/>
          <w:sz w:val="22"/>
          <w:szCs w:val="22"/>
        </w:rPr>
        <w:t xml:space="preserve"> </w:t>
      </w:r>
      <w:proofErr w:type="spellStart"/>
      <w:r w:rsidRPr="00AD08C9">
        <w:rPr>
          <w:rFonts w:eastAsia="Calibri"/>
          <w:color w:val="23261F"/>
          <w:sz w:val="22"/>
          <w:szCs w:val="22"/>
        </w:rPr>
        <w:t>Haemost</w:t>
      </w:r>
      <w:proofErr w:type="spellEnd"/>
      <w:r w:rsidRPr="00AD08C9">
        <w:rPr>
          <w:rFonts w:eastAsia="Calibri"/>
          <w:color w:val="23261F"/>
          <w:sz w:val="22"/>
          <w:szCs w:val="22"/>
        </w:rPr>
        <w:t>. 2025 Jul 30;9(5):102990.</w:t>
      </w:r>
    </w:p>
    <w:p w14:paraId="051077D2"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Griffin J, Thomas W, Jolly EC. Case report: Scurvy masquerading as acquired haemophilia. Clin Med (Lond). 2025 Jul;25(4):100342.</w:t>
      </w:r>
    </w:p>
    <w:p w14:paraId="63D1735A"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Horn EH, Forsyth K, Gooding R, Gorman R, </w:t>
      </w:r>
      <w:proofErr w:type="spellStart"/>
      <w:r w:rsidRPr="00AD08C9">
        <w:rPr>
          <w:rFonts w:eastAsia="Calibri"/>
          <w:color w:val="23261F"/>
          <w:sz w:val="22"/>
          <w:szCs w:val="22"/>
        </w:rPr>
        <w:t>Gosrani</w:t>
      </w:r>
      <w:proofErr w:type="spellEnd"/>
      <w:r w:rsidRPr="00AD08C9">
        <w:rPr>
          <w:rFonts w:eastAsia="Calibri"/>
          <w:color w:val="23261F"/>
          <w:sz w:val="22"/>
          <w:szCs w:val="22"/>
        </w:rPr>
        <w:t xml:space="preserve"> D, Hopper D, Mainwaring J, Percy CL, Thomas W, Smith S; UK Haemophilia Doctors Organisation Task Force on Emergency Care. Management of haemophilia and heritable bleeding disorders in the ED. Emerg Med J. 2025 Dec 18;43(1):49-54.</w:t>
      </w:r>
    </w:p>
    <w:p w14:paraId="75432925"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t xml:space="preserve">Aggarwal A, Prodger C, Hockley B, Thomas W, Murphy MF, Lieberman L, Bussel JB, </w:t>
      </w:r>
      <w:proofErr w:type="spellStart"/>
      <w:r w:rsidRPr="00AD08C9">
        <w:rPr>
          <w:rFonts w:eastAsia="Calibri"/>
          <w:color w:val="23261F"/>
          <w:sz w:val="22"/>
          <w:szCs w:val="22"/>
        </w:rPr>
        <w:t>Vlachodimitropoulou</w:t>
      </w:r>
      <w:proofErr w:type="spellEnd"/>
      <w:r w:rsidRPr="00AD08C9">
        <w:rPr>
          <w:rFonts w:eastAsia="Calibri"/>
          <w:color w:val="23261F"/>
          <w:sz w:val="22"/>
          <w:szCs w:val="22"/>
        </w:rPr>
        <w:t xml:space="preserve"> E, Desborough MJR. </w:t>
      </w:r>
      <w:proofErr w:type="spellStart"/>
      <w:r w:rsidRPr="00AD08C9">
        <w:rPr>
          <w:rFonts w:eastAsia="Calibri"/>
          <w:color w:val="23261F"/>
          <w:sz w:val="22"/>
          <w:szCs w:val="22"/>
        </w:rPr>
        <w:t>Fetal</w:t>
      </w:r>
      <w:proofErr w:type="spellEnd"/>
      <w:r w:rsidRPr="00AD08C9">
        <w:rPr>
          <w:rFonts w:eastAsia="Calibri"/>
          <w:color w:val="23261F"/>
          <w:sz w:val="22"/>
          <w:szCs w:val="22"/>
        </w:rPr>
        <w:t xml:space="preserve"> and neonatal alloimmune thrombocytopenia (FNAIT): Survey of UK </w:t>
      </w:r>
      <w:proofErr w:type="spellStart"/>
      <w:r w:rsidRPr="00AD08C9">
        <w:rPr>
          <w:rFonts w:eastAsia="Calibri"/>
          <w:color w:val="23261F"/>
          <w:sz w:val="22"/>
          <w:szCs w:val="22"/>
        </w:rPr>
        <w:t>fetal</w:t>
      </w:r>
      <w:proofErr w:type="spellEnd"/>
      <w:r w:rsidRPr="00AD08C9">
        <w:rPr>
          <w:rFonts w:eastAsia="Calibri"/>
          <w:color w:val="23261F"/>
          <w:sz w:val="22"/>
          <w:szCs w:val="22"/>
        </w:rPr>
        <w:t xml:space="preserve"> medicine centres on antenatal management of subsequent affected pregnancies. Br J Haematol. 2026 Jul;209(1):240-247</w:t>
      </w:r>
    </w:p>
    <w:p w14:paraId="2C8E6E66" w14:textId="77777777" w:rsidR="00D80A44" w:rsidRPr="00AD08C9" w:rsidRDefault="00000000" w:rsidP="00E32789">
      <w:pPr>
        <w:pStyle w:val="ListParagraph"/>
        <w:numPr>
          <w:ilvl w:val="0"/>
          <w:numId w:val="3"/>
        </w:numPr>
        <w:spacing w:after="80"/>
        <w:jc w:val="both"/>
        <w:rPr>
          <w:sz w:val="22"/>
          <w:szCs w:val="22"/>
        </w:rPr>
      </w:pPr>
      <w:r w:rsidRPr="00AD08C9">
        <w:rPr>
          <w:rFonts w:eastAsia="Calibri"/>
          <w:color w:val="23261F"/>
          <w:sz w:val="22"/>
          <w:szCs w:val="22"/>
        </w:rPr>
        <w:lastRenderedPageBreak/>
        <w:t xml:space="preserve">Stubbs DJ, Davies BM, </w:t>
      </w:r>
      <w:proofErr w:type="spellStart"/>
      <w:r w:rsidRPr="00AD08C9">
        <w:rPr>
          <w:rFonts w:eastAsia="Calibri"/>
          <w:color w:val="23261F"/>
          <w:sz w:val="22"/>
          <w:szCs w:val="22"/>
        </w:rPr>
        <w:t>Edlmann</w:t>
      </w:r>
      <w:proofErr w:type="spellEnd"/>
      <w:r w:rsidRPr="00AD08C9">
        <w:rPr>
          <w:rFonts w:eastAsia="Calibri"/>
          <w:color w:val="23261F"/>
          <w:sz w:val="22"/>
          <w:szCs w:val="22"/>
        </w:rPr>
        <w:t xml:space="preserve"> E, Ansari A, Bashford TH, Braude P, </w:t>
      </w:r>
      <w:proofErr w:type="spellStart"/>
      <w:r w:rsidRPr="00AD08C9">
        <w:rPr>
          <w:rFonts w:eastAsia="Calibri"/>
          <w:color w:val="23261F"/>
          <w:sz w:val="22"/>
          <w:szCs w:val="22"/>
        </w:rPr>
        <w:t>Bulters</w:t>
      </w:r>
      <w:proofErr w:type="spellEnd"/>
      <w:r w:rsidRPr="00AD08C9">
        <w:rPr>
          <w:rFonts w:eastAsia="Calibri"/>
          <w:color w:val="23261F"/>
          <w:sz w:val="22"/>
          <w:szCs w:val="22"/>
        </w:rPr>
        <w:t xml:space="preserve"> DO, Camp SJ, Carr G, Coles JP, de Monteverde-Robb D, Dhesi J, Dinsmore J, Evans NR, Foster E, Fox E, Froom I, Gillespie C, Gray N, Grieve K, Hartley P, Lecky F, Kolias A, Jeeves J, Joannides A, Minett T, </w:t>
      </w:r>
      <w:proofErr w:type="spellStart"/>
      <w:r w:rsidRPr="00AD08C9">
        <w:rPr>
          <w:rFonts w:eastAsia="Calibri"/>
          <w:color w:val="23261F"/>
          <w:sz w:val="22"/>
          <w:szCs w:val="22"/>
        </w:rPr>
        <w:t>Moppett</w:t>
      </w:r>
      <w:proofErr w:type="spellEnd"/>
      <w:r w:rsidRPr="00AD08C9">
        <w:rPr>
          <w:rFonts w:eastAsia="Calibri"/>
          <w:color w:val="23261F"/>
          <w:sz w:val="22"/>
          <w:szCs w:val="22"/>
        </w:rPr>
        <w:t xml:space="preserve"> I, Nathanson MH, Newcombe VFJ, Outtrim JG, Owen N, Petermann L, Ralhan S, Shipway D, Sinha R, Thomas W, Whitfield PC, Wilson SR, </w:t>
      </w:r>
      <w:proofErr w:type="spellStart"/>
      <w:r w:rsidRPr="00AD08C9">
        <w:rPr>
          <w:rFonts w:eastAsia="Calibri"/>
          <w:color w:val="23261F"/>
          <w:sz w:val="22"/>
          <w:szCs w:val="22"/>
        </w:rPr>
        <w:t>Zolnourian</w:t>
      </w:r>
      <w:proofErr w:type="spellEnd"/>
      <w:r w:rsidRPr="00AD08C9">
        <w:rPr>
          <w:rFonts w:eastAsia="Calibri"/>
          <w:color w:val="23261F"/>
          <w:sz w:val="22"/>
          <w:szCs w:val="22"/>
        </w:rPr>
        <w:t xml:space="preserve"> A, Dixon-Woods M, Menon DK, Hutchinson PJ; Improving Care In Elderly Neurosurgery Initiative (ICENI) Working Group. Clinical practice guidelines for the care of patients with a chronic subdural haematoma: multidisciplinary recommendations from presentation to recovery. Br J </w:t>
      </w:r>
      <w:proofErr w:type="spellStart"/>
      <w:r w:rsidRPr="00AD08C9">
        <w:rPr>
          <w:rFonts w:eastAsia="Calibri"/>
          <w:color w:val="23261F"/>
          <w:sz w:val="22"/>
          <w:szCs w:val="22"/>
        </w:rPr>
        <w:t>Neurosurg</w:t>
      </w:r>
      <w:proofErr w:type="spellEnd"/>
      <w:r w:rsidRPr="00AD08C9">
        <w:rPr>
          <w:rFonts w:eastAsia="Calibri"/>
          <w:color w:val="23261F"/>
          <w:sz w:val="22"/>
          <w:szCs w:val="22"/>
        </w:rPr>
        <w:t>. 2026 Feb;40(1):94-103.</w:t>
      </w:r>
    </w:p>
    <w:sectPr w:rsidR="00D80A44" w:rsidRPr="00AD08C9">
      <w:headerReference w:type="even" r:id="rId7"/>
      <w:headerReference w:type="default" r:id="rId8"/>
      <w:footerReference w:type="even" r:id="rId9"/>
      <w:footerReference w:type="default" r:id="rId10"/>
      <w:headerReference w:type="first" r:id="rId11"/>
      <w:footerReference w:type="first" r:id="rId12"/>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63FE4" w14:textId="77777777" w:rsidR="00C607EC" w:rsidRDefault="00C607EC">
      <w:r>
        <w:separator/>
      </w:r>
    </w:p>
  </w:endnote>
  <w:endnote w:type="continuationSeparator" w:id="0">
    <w:p w14:paraId="750AD3F0" w14:textId="77777777" w:rsidR="00C607EC" w:rsidRDefault="00C6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4346" w14:textId="77777777" w:rsidR="00FB3565" w:rsidRDefault="00FB3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7F8B" w14:textId="77777777" w:rsidR="00D80A44" w:rsidRDefault="00000000">
    <w:pPr>
      <w:jc w:val="center"/>
    </w:pPr>
    <w:r>
      <w:rPr>
        <w:rFonts w:ascii="Calibri" w:eastAsia="Calibri" w:hAnsi="Calibri" w:cs="Calibri"/>
        <w:color w:val="8B8676"/>
        <w:sz w:val="16"/>
        <w:szCs w:val="16"/>
      </w:rPr>
      <w:t xml:space="preserve">willthomasexpertwitness.co.uk     |     Page </w:t>
    </w:r>
    <w:r>
      <w:rPr>
        <w:rFonts w:ascii="Calibri" w:eastAsia="Calibri" w:hAnsi="Calibri" w:cs="Calibri"/>
        <w:color w:val="8B8676"/>
        <w:sz w:val="16"/>
        <w:szCs w:val="16"/>
      </w:rPr>
      <w:fldChar w:fldCharType="begin"/>
    </w:r>
    <w:r>
      <w:rPr>
        <w:rFonts w:ascii="Calibri" w:eastAsia="Calibri" w:hAnsi="Calibri" w:cs="Calibri"/>
        <w:color w:val="8B8676"/>
        <w:sz w:val="16"/>
        <w:szCs w:val="16"/>
      </w:rPr>
      <w:instrText>PAGE</w:instrText>
    </w:r>
    <w:r>
      <w:rPr>
        <w:rFonts w:ascii="Calibri" w:eastAsia="Calibri" w:hAnsi="Calibri" w:cs="Calibri"/>
        <w:color w:val="8B8676"/>
        <w:sz w:val="16"/>
        <w:szCs w:val="16"/>
      </w:rPr>
      <w:fldChar w:fldCharType="separate"/>
    </w:r>
    <w:r w:rsidR="00AD08C9">
      <w:rPr>
        <w:rFonts w:ascii="Calibri" w:eastAsia="Calibri" w:hAnsi="Calibri" w:cs="Calibri"/>
        <w:noProof/>
        <w:color w:val="8B8676"/>
        <w:sz w:val="16"/>
        <w:szCs w:val="16"/>
      </w:rPr>
      <w:t>1</w:t>
    </w:r>
    <w:r>
      <w:rPr>
        <w:rFonts w:ascii="Calibri" w:eastAsia="Calibri" w:hAnsi="Calibri" w:cs="Calibri"/>
        <w:color w:val="8B867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A777" w14:textId="77777777" w:rsidR="00FB3565" w:rsidRDefault="00FB3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B555" w14:textId="77777777" w:rsidR="00C607EC" w:rsidRDefault="00C607EC">
      <w:r>
        <w:separator/>
      </w:r>
    </w:p>
  </w:footnote>
  <w:footnote w:type="continuationSeparator" w:id="0">
    <w:p w14:paraId="396809CE" w14:textId="77777777" w:rsidR="00C607EC" w:rsidRDefault="00C60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E99F9" w14:textId="77777777" w:rsidR="00FB3565" w:rsidRDefault="00FB3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532C" w14:textId="77777777" w:rsidR="00D80A44" w:rsidRPr="00FB3565" w:rsidRDefault="00000000">
    <w:pPr>
      <w:jc w:val="center"/>
      <w:rPr>
        <w:sz w:val="24"/>
        <w:szCs w:val="24"/>
      </w:rPr>
    </w:pPr>
    <w:r w:rsidRPr="00FB3565">
      <w:rPr>
        <w:rFonts w:eastAsia="Georgia"/>
        <w:b/>
        <w:bCs/>
        <w:color w:val="1F3345"/>
        <w:sz w:val="36"/>
        <w:szCs w:val="36"/>
      </w:rPr>
      <w:t>Dr Will Thomas</w:t>
    </w:r>
  </w:p>
  <w:p w14:paraId="39BF9EAB" w14:textId="77777777" w:rsidR="00D80A44" w:rsidRDefault="00000000">
    <w:pPr>
      <w:jc w:val="center"/>
      <w:rPr>
        <w:rFonts w:eastAsia="Calibri"/>
        <w:color w:val="23261F"/>
        <w:spacing w:val="20"/>
        <w:sz w:val="22"/>
        <w:szCs w:val="22"/>
      </w:rPr>
    </w:pPr>
    <w:r w:rsidRPr="00FB3565">
      <w:rPr>
        <w:rFonts w:eastAsia="Calibri"/>
        <w:color w:val="23261F"/>
        <w:spacing w:val="20"/>
        <w:sz w:val="22"/>
        <w:szCs w:val="22"/>
      </w:rPr>
      <w:t>Consultant Haematologist</w:t>
    </w:r>
  </w:p>
  <w:p w14:paraId="7279B2DE" w14:textId="77777777" w:rsidR="00BF0CEE" w:rsidRPr="00FB3565" w:rsidRDefault="00BF0CEE">
    <w:pPr>
      <w:jc w:val="center"/>
      <w:rPr>
        <w:sz w:val="24"/>
        <w:szCs w:val="24"/>
      </w:rPr>
    </w:pPr>
  </w:p>
  <w:p w14:paraId="0736DE3E" w14:textId="77777777" w:rsidR="00D80A44" w:rsidRPr="00FB3565" w:rsidRDefault="00000000">
    <w:pPr>
      <w:pBdr>
        <w:bottom w:val="single" w:sz="6" w:space="6" w:color="9A7B3F"/>
      </w:pBdr>
      <w:spacing w:after="80"/>
      <w:jc w:val="center"/>
      <w:rPr>
        <w:sz w:val="24"/>
        <w:szCs w:val="24"/>
      </w:rPr>
    </w:pPr>
    <w:r w:rsidRPr="00FB3565">
      <w:rPr>
        <w:rFonts w:eastAsia="Calibri"/>
        <w:color w:val="9A7B3F"/>
        <w:spacing w:val="20"/>
        <w:sz w:val="22"/>
        <w:szCs w:val="22"/>
      </w:rPr>
      <w:t>GMC 7018303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B6D9" w14:textId="77777777" w:rsidR="00FB3565" w:rsidRDefault="00FB35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C3816"/>
    <w:multiLevelType w:val="hybridMultilevel"/>
    <w:tmpl w:val="C9262D02"/>
    <w:lvl w:ilvl="0" w:tplc="F370B258">
      <w:start w:val="1"/>
      <w:numFmt w:val="decimal"/>
      <w:lvlText w:val="%1."/>
      <w:lvlJc w:val="left"/>
      <w:pPr>
        <w:ind w:left="520" w:hanging="300"/>
      </w:pPr>
    </w:lvl>
    <w:lvl w:ilvl="1" w:tplc="804C7A3E">
      <w:numFmt w:val="decimal"/>
      <w:lvlText w:val=""/>
      <w:lvlJc w:val="left"/>
    </w:lvl>
    <w:lvl w:ilvl="2" w:tplc="FA66E65C">
      <w:numFmt w:val="decimal"/>
      <w:lvlText w:val=""/>
      <w:lvlJc w:val="left"/>
    </w:lvl>
    <w:lvl w:ilvl="3" w:tplc="D77E93F0">
      <w:numFmt w:val="decimal"/>
      <w:lvlText w:val=""/>
      <w:lvlJc w:val="left"/>
    </w:lvl>
    <w:lvl w:ilvl="4" w:tplc="F0CC7FB6">
      <w:numFmt w:val="decimal"/>
      <w:lvlText w:val=""/>
      <w:lvlJc w:val="left"/>
    </w:lvl>
    <w:lvl w:ilvl="5" w:tplc="C9BA708C">
      <w:numFmt w:val="decimal"/>
      <w:lvlText w:val=""/>
      <w:lvlJc w:val="left"/>
    </w:lvl>
    <w:lvl w:ilvl="6" w:tplc="0A6E60AE">
      <w:numFmt w:val="decimal"/>
      <w:lvlText w:val=""/>
      <w:lvlJc w:val="left"/>
    </w:lvl>
    <w:lvl w:ilvl="7" w:tplc="4F5A97A2">
      <w:numFmt w:val="decimal"/>
      <w:lvlText w:val=""/>
      <w:lvlJc w:val="left"/>
    </w:lvl>
    <w:lvl w:ilvl="8" w:tplc="ADEA5446">
      <w:numFmt w:val="decimal"/>
      <w:lvlText w:val=""/>
      <w:lvlJc w:val="left"/>
    </w:lvl>
  </w:abstractNum>
  <w:abstractNum w:abstractNumId="1" w15:restartNumberingAfterBreak="0">
    <w:nsid w:val="33934D30"/>
    <w:multiLevelType w:val="hybridMultilevel"/>
    <w:tmpl w:val="CEE4A49E"/>
    <w:lvl w:ilvl="0" w:tplc="E632C0B8">
      <w:start w:val="1"/>
      <w:numFmt w:val="bullet"/>
      <w:lvlText w:val="●"/>
      <w:lvlJc w:val="left"/>
      <w:pPr>
        <w:ind w:left="720" w:hanging="360"/>
      </w:pPr>
    </w:lvl>
    <w:lvl w:ilvl="1" w:tplc="EA06A228">
      <w:start w:val="1"/>
      <w:numFmt w:val="bullet"/>
      <w:lvlText w:val="○"/>
      <w:lvlJc w:val="left"/>
      <w:pPr>
        <w:ind w:left="1440" w:hanging="360"/>
      </w:pPr>
    </w:lvl>
    <w:lvl w:ilvl="2" w:tplc="6908E67A">
      <w:start w:val="1"/>
      <w:numFmt w:val="bullet"/>
      <w:lvlText w:val="■"/>
      <w:lvlJc w:val="left"/>
      <w:pPr>
        <w:ind w:left="2160" w:hanging="360"/>
      </w:pPr>
    </w:lvl>
    <w:lvl w:ilvl="3" w:tplc="8988963A">
      <w:start w:val="1"/>
      <w:numFmt w:val="bullet"/>
      <w:lvlText w:val="●"/>
      <w:lvlJc w:val="left"/>
      <w:pPr>
        <w:ind w:left="2880" w:hanging="360"/>
      </w:pPr>
    </w:lvl>
    <w:lvl w:ilvl="4" w:tplc="D660B02E">
      <w:start w:val="1"/>
      <w:numFmt w:val="bullet"/>
      <w:lvlText w:val="○"/>
      <w:lvlJc w:val="left"/>
      <w:pPr>
        <w:ind w:left="3600" w:hanging="360"/>
      </w:pPr>
    </w:lvl>
    <w:lvl w:ilvl="5" w:tplc="6F3CA89E">
      <w:start w:val="1"/>
      <w:numFmt w:val="bullet"/>
      <w:lvlText w:val="■"/>
      <w:lvlJc w:val="left"/>
      <w:pPr>
        <w:ind w:left="4320" w:hanging="360"/>
      </w:pPr>
    </w:lvl>
    <w:lvl w:ilvl="6" w:tplc="315A9490">
      <w:start w:val="1"/>
      <w:numFmt w:val="bullet"/>
      <w:lvlText w:val="●"/>
      <w:lvlJc w:val="left"/>
      <w:pPr>
        <w:ind w:left="5040" w:hanging="360"/>
      </w:pPr>
    </w:lvl>
    <w:lvl w:ilvl="7" w:tplc="C99A98C0">
      <w:start w:val="1"/>
      <w:numFmt w:val="bullet"/>
      <w:lvlText w:val="●"/>
      <w:lvlJc w:val="left"/>
      <w:pPr>
        <w:ind w:left="5760" w:hanging="360"/>
      </w:pPr>
    </w:lvl>
    <w:lvl w:ilvl="8" w:tplc="98ACA248">
      <w:start w:val="1"/>
      <w:numFmt w:val="bullet"/>
      <w:lvlText w:val="●"/>
      <w:lvlJc w:val="left"/>
      <w:pPr>
        <w:ind w:left="6480" w:hanging="360"/>
      </w:pPr>
    </w:lvl>
  </w:abstractNum>
  <w:abstractNum w:abstractNumId="2" w15:restartNumberingAfterBreak="0">
    <w:nsid w:val="4EDF134E"/>
    <w:multiLevelType w:val="hybridMultilevel"/>
    <w:tmpl w:val="8AFA2382"/>
    <w:lvl w:ilvl="0" w:tplc="BC2A407A">
      <w:start w:val="1"/>
      <w:numFmt w:val="bullet"/>
      <w:lvlText w:val="•"/>
      <w:lvlJc w:val="left"/>
      <w:pPr>
        <w:ind w:left="420" w:hanging="220"/>
      </w:pPr>
    </w:lvl>
    <w:lvl w:ilvl="1" w:tplc="EDC8D816">
      <w:numFmt w:val="decimal"/>
      <w:lvlText w:val=""/>
      <w:lvlJc w:val="left"/>
    </w:lvl>
    <w:lvl w:ilvl="2" w:tplc="64267A70">
      <w:numFmt w:val="decimal"/>
      <w:lvlText w:val=""/>
      <w:lvlJc w:val="left"/>
    </w:lvl>
    <w:lvl w:ilvl="3" w:tplc="B60C911C">
      <w:numFmt w:val="decimal"/>
      <w:lvlText w:val=""/>
      <w:lvlJc w:val="left"/>
    </w:lvl>
    <w:lvl w:ilvl="4" w:tplc="6800679C">
      <w:numFmt w:val="decimal"/>
      <w:lvlText w:val=""/>
      <w:lvlJc w:val="left"/>
    </w:lvl>
    <w:lvl w:ilvl="5" w:tplc="52528234">
      <w:numFmt w:val="decimal"/>
      <w:lvlText w:val=""/>
      <w:lvlJc w:val="left"/>
    </w:lvl>
    <w:lvl w:ilvl="6" w:tplc="AAF05868">
      <w:numFmt w:val="decimal"/>
      <w:lvlText w:val=""/>
      <w:lvlJc w:val="left"/>
    </w:lvl>
    <w:lvl w:ilvl="7" w:tplc="2A64C432">
      <w:numFmt w:val="decimal"/>
      <w:lvlText w:val=""/>
      <w:lvlJc w:val="left"/>
    </w:lvl>
    <w:lvl w:ilvl="8" w:tplc="6786093E">
      <w:numFmt w:val="decimal"/>
      <w:lvlText w:val=""/>
      <w:lvlJc w:val="left"/>
    </w:lvl>
  </w:abstractNum>
  <w:num w:numId="1" w16cid:durableId="900210630">
    <w:abstractNumId w:val="1"/>
    <w:lvlOverride w:ilvl="0">
      <w:startOverride w:val="1"/>
    </w:lvlOverride>
  </w:num>
  <w:num w:numId="2" w16cid:durableId="1396969924">
    <w:abstractNumId w:val="2"/>
    <w:lvlOverride w:ilvl="0">
      <w:startOverride w:val="1"/>
    </w:lvlOverride>
  </w:num>
  <w:num w:numId="3" w16cid:durableId="1721631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A44"/>
    <w:rsid w:val="00750132"/>
    <w:rsid w:val="00AD08C9"/>
    <w:rsid w:val="00BF0CEE"/>
    <w:rsid w:val="00C607EC"/>
    <w:rsid w:val="00D80A44"/>
    <w:rsid w:val="00E32789"/>
    <w:rsid w:val="00FB35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49FF2"/>
  <w15:docId w15:val="{A5BBFBB9-7B17-47CD-BAA0-B46E8553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B3565"/>
    <w:pPr>
      <w:tabs>
        <w:tab w:val="center" w:pos="4513"/>
        <w:tab w:val="right" w:pos="9026"/>
      </w:tabs>
    </w:pPr>
  </w:style>
  <w:style w:type="character" w:customStyle="1" w:styleId="HeaderChar">
    <w:name w:val="Header Char"/>
    <w:basedOn w:val="DefaultParagraphFont"/>
    <w:link w:val="Header"/>
    <w:uiPriority w:val="99"/>
    <w:rsid w:val="00FB3565"/>
  </w:style>
  <w:style w:type="paragraph" w:styleId="Footer">
    <w:name w:val="footer"/>
    <w:basedOn w:val="Normal"/>
    <w:link w:val="FooterChar"/>
    <w:uiPriority w:val="99"/>
    <w:unhideWhenUsed/>
    <w:rsid w:val="00FB3565"/>
    <w:pPr>
      <w:tabs>
        <w:tab w:val="center" w:pos="4513"/>
        <w:tab w:val="right" w:pos="9026"/>
      </w:tabs>
    </w:pPr>
  </w:style>
  <w:style w:type="character" w:customStyle="1" w:styleId="FooterChar">
    <w:name w:val="Footer Char"/>
    <w:basedOn w:val="DefaultParagraphFont"/>
    <w:link w:val="Footer"/>
    <w:uiPriority w:val="99"/>
    <w:rsid w:val="00FB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3303</Words>
  <Characters>18833</Characters>
  <Application>Microsoft Office Word</Application>
  <DocSecurity>0</DocSecurity>
  <Lines>156</Lines>
  <Paragraphs>44</Paragraphs>
  <ScaleCrop>false</ScaleCrop>
  <Company/>
  <LinksUpToDate>false</LinksUpToDate>
  <CharactersWithSpaces>22092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Dr Will Thomas</dc:title>
  <dc:creator>Dr Will Thomas</dc:creator>
  <cp:lastModifiedBy>Vignesh Periyasamy</cp:lastModifiedBy>
  <cp:revision>5</cp:revision>
  <dcterms:created xsi:type="dcterms:W3CDTF">2026-09-27T15:59:00Z</dcterms:created>
  <dcterms:modified xsi:type="dcterms:W3CDTF">2026-09-27T17:08:00Z</dcterms:modified>
</cp:coreProperties>
</file>